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document.xml" ContentType="application/vnd.openxmlformats-officedocument.wordprocessingml.document.main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Standard"/>
        <w:widowControl w:val="false"/>
        <w:tabs>
          <w:tab w:val="clear" w:pos="708"/>
          <w:tab w:val="left" w:pos="1440" w:leader="none"/>
        </w:tabs>
        <w:spacing w:before="0" w:after="0"/>
        <w:ind w:left="720" w:right="0" w:hanging="720"/>
        <w:jc w:val="center"/>
        <w:rPr>
          <w:rFonts w:ascii="Liberation Serif" w:hAnsi="Liberation Serif"/>
          <w:b/>
          <w:bCs/>
          <w:i w:val="false"/>
          <w:i w:val="false"/>
          <w:iCs w:val="false"/>
          <w:sz w:val="26"/>
          <w:szCs w:val="26"/>
        </w:rPr>
      </w:pPr>
      <w:r>
        <w:rPr>
          <w:rFonts w:ascii="Liberation Serif" w:hAnsi="Liberation Serif"/>
          <w:b/>
          <w:bCs/>
          <w:i w:val="false"/>
          <w:iCs w:val="false"/>
          <w:sz w:val="26"/>
          <w:szCs w:val="26"/>
        </w:rPr>
        <w:t>ТЕХНИЧЕСК</w:t>
      </w:r>
      <w:r>
        <w:rPr>
          <w:rFonts w:ascii="Liberation Serif" w:hAnsi="Liberation Serif"/>
          <w:b/>
          <w:bCs/>
          <w:i w:val="false"/>
          <w:iCs w:val="false"/>
          <w:sz w:val="26"/>
          <w:szCs w:val="26"/>
        </w:rPr>
        <w:t>И</w:t>
      </w:r>
      <w:r>
        <w:rPr>
          <w:rFonts w:ascii="Liberation Serif" w:hAnsi="Liberation Serif"/>
          <w:b/>
          <w:bCs/>
          <w:i w:val="false"/>
          <w:iCs w:val="false"/>
          <w:sz w:val="26"/>
          <w:szCs w:val="26"/>
        </w:rPr>
        <w:t xml:space="preserve">Е </w:t>
      </w:r>
      <w:r>
        <w:rPr>
          <w:rFonts w:ascii="Liberation Serif" w:hAnsi="Liberation Serif"/>
          <w:b/>
          <w:bCs/>
          <w:i w:val="false"/>
          <w:iCs w:val="false"/>
          <w:sz w:val="26"/>
          <w:szCs w:val="26"/>
        </w:rPr>
        <w:t>ТРЕБОВАНИЯ</w:t>
      </w:r>
    </w:p>
    <w:p>
      <w:pPr>
        <w:pStyle w:val="Normal"/>
        <w:keepNext w:val="true"/>
        <w:keepLines/>
        <w:jc w:val="center"/>
        <w:rPr>
          <w:rFonts w:ascii="Liberation Serif" w:hAnsi="Liberation Serif" w:eastAsia="Calibri"/>
          <w:b/>
          <w:bCs/>
          <w:i w:val="false"/>
          <w:i w:val="false"/>
          <w:iCs w:val="false"/>
          <w:sz w:val="26"/>
          <w:szCs w:val="26"/>
        </w:rPr>
      </w:pPr>
      <w:r>
        <w:rPr>
          <w:rFonts w:eastAsia="Calibri" w:ascii="Liberation Serif" w:hAnsi="Liberation Serif"/>
          <w:b/>
          <w:bCs/>
          <w:i w:val="false"/>
          <w:iCs w:val="false"/>
          <w:sz w:val="26"/>
          <w:szCs w:val="26"/>
        </w:rPr>
      </w:r>
    </w:p>
    <w:p>
      <w:pPr>
        <w:pStyle w:val="Normal"/>
        <w:bidi w:val="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widowControl w:val="false"/>
        <w:shd w:fill="FFFFFF" w:val="clear"/>
        <w:tabs>
          <w:tab w:val="clear" w:pos="288"/>
          <w:tab w:val="left" w:pos="567" w:leader="none"/>
          <w:tab w:val="left" w:pos="1134" w:leader="none"/>
        </w:tabs>
        <w:overflowPunct w:val="false"/>
        <w:ind w:left="0" w:firstLine="709"/>
        <w:jc w:val="both"/>
        <w:textAlignment w:val="baseline"/>
        <w:rPr>
          <w:rFonts w:ascii="Liberation Serif" w:hAnsi="Liberation Serif"/>
          <w:b w:val="false"/>
          <w:bCs w:val="false"/>
          <w:i/>
          <w:i/>
          <w:iCs/>
          <w:sz w:val="26"/>
          <w:szCs w:val="26"/>
          <w:shd w:fill="auto" w:val="clear"/>
          <w:lang w:eastAsia="en-US"/>
        </w:rPr>
      </w:pPr>
      <w:r>
        <w:rPr>
          <w:rFonts w:ascii="Liberation Serif" w:hAnsi="Liberation Serif"/>
          <w:b w:val="false"/>
          <w:bCs w:val="false"/>
          <w:i/>
          <w:iCs/>
          <w:sz w:val="26"/>
          <w:szCs w:val="26"/>
          <w:shd w:fill="auto" w:val="clear"/>
          <w:lang w:eastAsia="en-US"/>
        </w:rPr>
        <w:t>ОКПД2 42.22.22.110. Выполнение проектно-изыскательских и строительно-монтажных работ по строительству КЛ-10кВ протяженностью 0,129 км, ВЛ-10 кВ протяженностью 1,006 км, установка РЛНД — 1шт, установка прибора учета -1 шт. п.Беркакит (в том числе разработать проектно-сметную документацию) для технологического присоединения заявителя ООО «ПКК-ЯКУТИЯ»</w:t>
      </w:r>
    </w:p>
    <w:p>
      <w:pPr>
        <w:pStyle w:val="Normal"/>
        <w:spacing w:lineRule="auto" w:line="240"/>
        <w:jc w:val="center"/>
        <w:rPr>
          <w:rFonts w:ascii="Liberation Serif" w:hAnsi="Liberation Serif"/>
          <w:b/>
          <w:bCs/>
          <w:i w:val="false"/>
          <w:i w:val="false"/>
          <w:iCs w:val="false"/>
          <w:sz w:val="26"/>
          <w:szCs w:val="26"/>
        </w:rPr>
      </w:pPr>
      <w:r>
        <w:rPr>
          <w:rFonts w:ascii="Liberation Serif" w:hAnsi="Liberation Serif"/>
          <w:b/>
          <w:bCs/>
          <w:i w:val="false"/>
          <w:iCs w:val="false"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ascii="Liberation Serif" w:hAnsi="Liberation Serif"/>
          <w:b/>
          <w:bCs/>
          <w:i w:val="false"/>
          <w:i w:val="false"/>
          <w:iCs w:val="false"/>
          <w:sz w:val="26"/>
          <w:szCs w:val="26"/>
        </w:rPr>
      </w:pPr>
      <w:r>
        <w:rPr>
          <w:rFonts w:ascii="Liberation Serif" w:hAnsi="Liberation Serif"/>
          <w:b/>
          <w:bCs/>
          <w:i w:val="false"/>
          <w:iCs w:val="false"/>
          <w:sz w:val="26"/>
          <w:szCs w:val="26"/>
        </w:rPr>
        <w:t xml:space="preserve">ЛОТ № </w:t>
      </w:r>
    </w:p>
    <w:p>
      <w:pPr>
        <w:pStyle w:val="Normal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  <w:r>
        <w:br w:type="page"/>
      </w:r>
    </w:p>
    <w:p>
      <w:pPr>
        <w:pStyle w:val="Normal"/>
        <w:spacing w:lineRule="auto" w:line="276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СОДЕРЖАНИЕ</w:t>
      </w:r>
    </w:p>
    <w:p>
      <w:pPr>
        <w:pStyle w:val="Contents1"/>
        <w:spacing w:lineRule="auto" w:line="27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color w:val="000000"/>
          <w:sz w:val="24"/>
          <w:szCs w:val="24"/>
          <w:u w:val="none"/>
        </w:rPr>
        <w:t>1.</w:t>
        <w:tab/>
      </w:r>
      <w:r>
        <w:rPr>
          <w:rFonts w:ascii="Liberation Serif" w:hAnsi="Liberation Serif"/>
          <w:color w:val="000000"/>
          <w:sz w:val="24"/>
          <w:szCs w:val="24"/>
        </w:rPr>
        <w:t>Общие сведения</w:t>
        <w:tab/>
        <w:t>3</w:t>
      </w:r>
    </w:p>
    <w:p>
      <w:pPr>
        <w:pStyle w:val="Contents4"/>
        <w:tabs>
          <w:tab w:val="clear" w:pos="560"/>
          <w:tab w:val="clear" w:pos="1120"/>
          <w:tab w:val="left" w:pos="0" w:leader="none"/>
          <w:tab w:val="left" w:pos="1134" w:leader="none"/>
          <w:tab w:val="right" w:pos="9911" w:leader="dot"/>
        </w:tabs>
        <w:spacing w:lineRule="auto" w:line="27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Cs/>
          <w:color w:val="000000"/>
          <w:sz w:val="24"/>
          <w:szCs w:val="24"/>
        </w:rPr>
        <w:t>1.1.</w:t>
      </w:r>
      <w:r>
        <w:rPr>
          <w:rFonts w:ascii="Liberation Serif" w:hAnsi="Liberation Serif"/>
          <w:color w:val="000000"/>
          <w:sz w:val="24"/>
          <w:szCs w:val="24"/>
        </w:rPr>
        <w:tab/>
        <w:t xml:space="preserve">Обозначения и сокращения </w:t>
      </w:r>
      <w:r>
        <w:rPr>
          <w:rFonts w:ascii="Liberation Serif" w:hAnsi="Liberation Serif"/>
          <w:color w:val="000000"/>
          <w:sz w:val="24"/>
          <w:szCs w:val="24"/>
        </w:rPr>
        <w:t>используемые в Техническ</w:t>
      </w:r>
      <w:r>
        <w:rPr>
          <w:rFonts w:ascii="Liberation Serif" w:hAnsi="Liberation Serif"/>
          <w:color w:val="000000"/>
          <w:sz w:val="24"/>
          <w:szCs w:val="24"/>
        </w:rPr>
        <w:t>их</w:t>
      </w:r>
      <w:r>
        <w:rPr>
          <w:rFonts w:ascii="Liberation Serif" w:hAnsi="Liberation Serif"/>
          <w:color w:val="000000"/>
          <w:sz w:val="24"/>
          <w:szCs w:val="24"/>
        </w:rPr>
        <w:t xml:space="preserve"> </w:t>
      </w:r>
      <w:r>
        <w:rPr>
          <w:rFonts w:ascii="Liberation Serif" w:hAnsi="Liberation Serif"/>
          <w:color w:val="000000"/>
          <w:sz w:val="24"/>
          <w:szCs w:val="24"/>
        </w:rPr>
        <w:t>требованиях</w:t>
      </w:r>
      <w:r>
        <w:rPr>
          <w:rFonts w:ascii="Liberation Serif" w:hAnsi="Liberation Serif"/>
          <w:color w:val="000000"/>
          <w:sz w:val="24"/>
          <w:szCs w:val="24"/>
        </w:rPr>
        <w:tab/>
        <w:t>3</w:t>
      </w:r>
    </w:p>
    <w:p>
      <w:pPr>
        <w:pStyle w:val="Contents4"/>
        <w:tabs>
          <w:tab w:val="clear" w:pos="560"/>
          <w:tab w:val="clear" w:pos="1120"/>
          <w:tab w:val="left" w:pos="0" w:leader="none"/>
          <w:tab w:val="left" w:pos="1134" w:leader="none"/>
          <w:tab w:val="right" w:pos="9911" w:leader="dot"/>
        </w:tabs>
        <w:spacing w:lineRule="auto" w:line="27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Cs/>
          <w:color w:val="000000"/>
          <w:sz w:val="24"/>
          <w:szCs w:val="24"/>
        </w:rPr>
        <w:t>1.2.</w:t>
      </w:r>
      <w:r>
        <w:rPr>
          <w:rFonts w:ascii="Liberation Serif" w:hAnsi="Liberation Serif"/>
          <w:color w:val="000000"/>
          <w:sz w:val="24"/>
          <w:szCs w:val="24"/>
        </w:rPr>
        <w:tab/>
        <w:t xml:space="preserve">Наименование закупаемой продукции </w:t>
      </w:r>
      <w:r>
        <w:rPr>
          <w:rFonts w:ascii="Liberation Serif" w:hAnsi="Liberation Serif"/>
          <w:color w:val="000000"/>
          <w:sz w:val="24"/>
          <w:szCs w:val="24"/>
        </w:rPr>
        <w:t>(закупаемых работ)</w:t>
      </w:r>
      <w:r>
        <w:rPr>
          <w:rFonts w:ascii="Liberation Serif" w:hAnsi="Liberation Serif"/>
          <w:color w:val="000000"/>
          <w:sz w:val="24"/>
          <w:szCs w:val="24"/>
        </w:rPr>
        <w:tab/>
        <w:t>4</w:t>
      </w:r>
    </w:p>
    <w:p>
      <w:pPr>
        <w:pStyle w:val="Contents4"/>
        <w:tabs>
          <w:tab w:val="clear" w:pos="560"/>
          <w:tab w:val="clear" w:pos="1120"/>
          <w:tab w:val="left" w:pos="0" w:leader="none"/>
          <w:tab w:val="left" w:pos="1134" w:leader="none"/>
          <w:tab w:val="right" w:pos="9911" w:leader="dot"/>
        </w:tabs>
        <w:spacing w:lineRule="auto" w:line="27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Cs/>
          <w:color w:val="000000"/>
          <w:sz w:val="24"/>
          <w:szCs w:val="24"/>
        </w:rPr>
        <w:t>1.3.</w:t>
      </w:r>
      <w:r>
        <w:rPr>
          <w:rFonts w:ascii="Liberation Serif" w:hAnsi="Liberation Serif"/>
          <w:color w:val="000000"/>
          <w:sz w:val="24"/>
          <w:szCs w:val="24"/>
        </w:rPr>
        <w:tab/>
        <w:t xml:space="preserve">Цель выполнения работ </w:t>
        <w:tab/>
        <w:t>4</w:t>
      </w:r>
    </w:p>
    <w:p>
      <w:pPr>
        <w:pStyle w:val="Contents4"/>
        <w:tabs>
          <w:tab w:val="clear" w:pos="560"/>
          <w:tab w:val="clear" w:pos="1120"/>
          <w:tab w:val="left" w:pos="0" w:leader="none"/>
          <w:tab w:val="left" w:pos="1134" w:leader="none"/>
          <w:tab w:val="right" w:pos="9911" w:leader="dot"/>
        </w:tabs>
        <w:spacing w:lineRule="auto" w:line="27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Cs/>
          <w:color w:val="000000"/>
          <w:sz w:val="24"/>
          <w:szCs w:val="24"/>
        </w:rPr>
        <w:t>1.4.</w:t>
      </w:r>
      <w:r>
        <w:rPr>
          <w:rFonts w:ascii="Liberation Serif" w:hAnsi="Liberation Serif"/>
          <w:color w:val="000000"/>
          <w:sz w:val="24"/>
          <w:szCs w:val="24"/>
        </w:rPr>
        <w:tab/>
        <w:t>Существующее положение</w:t>
        <w:tab/>
        <w:t>4</w:t>
      </w:r>
    </w:p>
    <w:p>
      <w:pPr>
        <w:pStyle w:val="Contents1"/>
        <w:spacing w:lineRule="auto" w:line="276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Таблица 1. Перечень объектов заказчика</w:t>
        <w:tab/>
        <w:t>4</w:t>
      </w:r>
    </w:p>
    <w:p>
      <w:pPr>
        <w:pStyle w:val="Contents4"/>
        <w:spacing w:lineRule="auto" w:line="27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1.5.</w:t>
        <w:tab/>
        <w:t>Основные характеристики проектируемых объектов</w:t>
        <w:tab/>
      </w:r>
      <w:r>
        <w:rPr>
          <w:rFonts w:ascii="Liberation Serif" w:hAnsi="Liberation Serif"/>
          <w:color w:val="000000"/>
          <w:sz w:val="24"/>
          <w:szCs w:val="24"/>
        </w:rPr>
        <w:t>4</w:t>
      </w:r>
    </w:p>
    <w:p>
      <w:pPr>
        <w:pStyle w:val="Contents1"/>
        <w:spacing w:lineRule="auto" w:line="27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2.</w:t>
        <w:tab/>
      </w:r>
      <w:r>
        <w:rPr>
          <w:rFonts w:ascii="Liberation Serif" w:hAnsi="Liberation Serif"/>
          <w:iCs/>
          <w:color w:val="000000"/>
          <w:sz w:val="24"/>
          <w:szCs w:val="24"/>
        </w:rPr>
        <w:t>Требования к продукции</w:t>
      </w:r>
      <w:r>
        <w:rPr>
          <w:rFonts w:ascii="Liberation Serif" w:hAnsi="Liberation Serif"/>
          <w:color w:val="000000"/>
          <w:sz w:val="24"/>
          <w:szCs w:val="24"/>
        </w:rPr>
        <w:tab/>
      </w:r>
      <w:r>
        <w:rPr>
          <w:rFonts w:ascii="Liberation Serif" w:hAnsi="Liberation Serif"/>
          <w:color w:val="000000"/>
          <w:sz w:val="24"/>
          <w:szCs w:val="24"/>
        </w:rPr>
        <w:t>4</w:t>
      </w:r>
    </w:p>
    <w:p>
      <w:pPr>
        <w:pStyle w:val="Contents4"/>
        <w:spacing w:lineRule="auto" w:line="276"/>
        <w:rPr>
          <w:rFonts w:ascii="Liberation Serif" w:hAnsi="Liberation Serif"/>
        </w:rPr>
      </w:pPr>
      <w:r>
        <w:rPr>
          <w:rFonts w:ascii="Liberation Serif" w:hAnsi="Liberation Serif"/>
          <w:color w:val="000000"/>
          <w:sz w:val="24"/>
          <w:szCs w:val="24"/>
        </w:rPr>
        <w:t>2.1.</w:t>
        <w:tab/>
      </w:r>
      <w:bookmarkStart w:id="0" w:name="_Toc54646404_Копия_1"/>
      <w:r>
        <w:rPr>
          <w:rFonts w:ascii="Liberation Serif" w:hAnsi="Liberation Serif"/>
          <w:b w:val="false"/>
          <w:bCs w:val="false"/>
          <w:color w:val="000000"/>
          <w:sz w:val="24"/>
          <w:szCs w:val="24"/>
        </w:rPr>
        <w:t>Требования к объемам и срокам выполнения работ</w:t>
      </w:r>
      <w:bookmarkEnd w:id="0"/>
      <w:r>
        <w:rPr>
          <w:rFonts w:ascii="Liberation Serif" w:hAnsi="Liberation Serif"/>
          <w:color w:val="000000"/>
          <w:sz w:val="24"/>
          <w:szCs w:val="24"/>
        </w:rPr>
        <w:tab/>
      </w:r>
      <w:r>
        <w:rPr>
          <w:rFonts w:ascii="Liberation Serif" w:hAnsi="Liberation Serif"/>
          <w:color w:val="000000"/>
          <w:sz w:val="24"/>
          <w:szCs w:val="24"/>
        </w:rPr>
        <w:t>4</w:t>
      </w:r>
    </w:p>
    <w:p>
      <w:pPr>
        <w:pStyle w:val="Contents4"/>
        <w:spacing w:lineRule="auto" w:line="276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2.1.</w:t>
      </w:r>
      <w:r>
        <w:rPr>
          <w:rFonts w:ascii="Liberation Serif" w:hAnsi="Liberation Serif"/>
          <w:color w:val="000000"/>
          <w:sz w:val="24"/>
          <w:szCs w:val="24"/>
        </w:rPr>
        <w:t xml:space="preserve">1. </w:t>
      </w:r>
      <w:r>
        <w:rPr>
          <w:rFonts w:ascii="Liberation Serif" w:hAnsi="Liberation Serif"/>
          <w:color w:val="000000"/>
          <w:sz w:val="24"/>
          <w:szCs w:val="24"/>
        </w:rPr>
        <w:t>Требования к видам и объемам работ</w:t>
        <w:tab/>
      </w:r>
      <w:r>
        <w:rPr>
          <w:rFonts w:ascii="Liberation Serif" w:hAnsi="Liberation Serif"/>
          <w:color w:val="000000"/>
          <w:sz w:val="24"/>
          <w:szCs w:val="24"/>
        </w:rPr>
        <w:t>4</w:t>
      </w:r>
    </w:p>
    <w:p>
      <w:pPr>
        <w:pStyle w:val="Contents1"/>
        <w:spacing w:lineRule="auto" w:line="276"/>
        <w:rPr>
          <w:rFonts w:ascii="Liberation Serif" w:hAnsi="Liberation Serif"/>
          <w:color w:val="000000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Таблица 2. Перечень и объем выполняемых работ</w:t>
        <w:tab/>
      </w:r>
      <w:r>
        <w:rPr>
          <w:rFonts w:ascii="Liberation Serif" w:hAnsi="Liberation Serif"/>
          <w:color w:val="000000"/>
          <w:sz w:val="24"/>
          <w:szCs w:val="24"/>
        </w:rPr>
        <w:t>5</w:t>
      </w:r>
    </w:p>
    <w:p>
      <w:pPr>
        <w:pStyle w:val="Contents3"/>
        <w:spacing w:lineRule="auto" w:line="27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2.</w:t>
      </w:r>
      <w:r>
        <w:rPr>
          <w:rFonts w:ascii="Liberation Serif" w:hAnsi="Liberation Serif"/>
          <w:color w:val="000000"/>
          <w:sz w:val="24"/>
          <w:szCs w:val="24"/>
        </w:rPr>
        <w:t>1</w:t>
      </w:r>
      <w:r>
        <w:rPr>
          <w:rFonts w:ascii="Liberation Serif" w:hAnsi="Liberation Serif"/>
          <w:color w:val="000000"/>
          <w:sz w:val="24"/>
          <w:szCs w:val="24"/>
        </w:rPr>
        <w:t>.</w:t>
      </w:r>
      <w:r>
        <w:rPr>
          <w:rFonts w:ascii="Liberation Serif" w:hAnsi="Liberation Serif"/>
          <w:color w:val="000000"/>
          <w:sz w:val="24"/>
          <w:szCs w:val="24"/>
        </w:rPr>
        <w:t xml:space="preserve">2. </w:t>
      </w:r>
      <w:r>
        <w:rPr>
          <w:rFonts w:ascii="Liberation Serif" w:hAnsi="Liberation Serif"/>
          <w:color w:val="000000"/>
          <w:sz w:val="24"/>
          <w:szCs w:val="24"/>
        </w:rPr>
        <w:t>Требования к срокам выполнения работ</w:t>
        <w:tab/>
      </w:r>
      <w:r>
        <w:rPr>
          <w:rFonts w:ascii="Liberation Serif" w:hAnsi="Liberation Serif"/>
          <w:color w:val="000000"/>
          <w:sz w:val="24"/>
          <w:szCs w:val="24"/>
        </w:rPr>
        <w:t>5</w:t>
      </w:r>
    </w:p>
    <w:p>
      <w:pPr>
        <w:pStyle w:val="Contents1"/>
        <w:spacing w:lineRule="auto" w:line="27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Таблица 3. Требования по срокам выполнения работ</w:t>
        <w:tab/>
      </w:r>
      <w:r>
        <w:rPr>
          <w:rFonts w:ascii="Liberation Serif" w:hAnsi="Liberation Serif"/>
          <w:color w:val="000000"/>
          <w:sz w:val="24"/>
          <w:szCs w:val="24"/>
        </w:rPr>
        <w:t>5</w:t>
      </w:r>
    </w:p>
    <w:p>
      <w:pPr>
        <w:pStyle w:val="Contents4"/>
        <w:spacing w:lineRule="auto" w:line="27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2.</w:t>
      </w:r>
      <w:r>
        <w:rPr>
          <w:rFonts w:ascii="Liberation Serif" w:hAnsi="Liberation Serif"/>
          <w:color w:val="000000"/>
          <w:sz w:val="24"/>
          <w:szCs w:val="24"/>
        </w:rPr>
        <w:t>2</w:t>
      </w:r>
      <w:r>
        <w:rPr>
          <w:rFonts w:ascii="Liberation Serif" w:hAnsi="Liberation Serif"/>
          <w:color w:val="000000"/>
          <w:sz w:val="24"/>
          <w:szCs w:val="24"/>
        </w:rPr>
        <w:t>.</w:t>
        <w:tab/>
        <w:t>Требования к качеству работ</w:t>
        <w:tab/>
      </w:r>
      <w:r>
        <w:rPr>
          <w:rFonts w:ascii="Liberation Serif" w:hAnsi="Liberation Serif"/>
          <w:color w:val="000000"/>
          <w:sz w:val="24"/>
          <w:szCs w:val="24"/>
        </w:rPr>
        <w:t>6</w:t>
      </w:r>
    </w:p>
    <w:p>
      <w:pPr>
        <w:pStyle w:val="Contents1"/>
        <w:spacing w:lineRule="auto" w:line="27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Таблица 4. Требования к качеству работ</w:t>
        <w:tab/>
      </w:r>
      <w:r>
        <w:rPr>
          <w:rFonts w:ascii="Liberation Serif" w:hAnsi="Liberation Serif"/>
          <w:color w:val="000000"/>
          <w:sz w:val="24"/>
          <w:szCs w:val="24"/>
        </w:rPr>
        <w:t>6</w:t>
      </w:r>
    </w:p>
    <w:p>
      <w:pPr>
        <w:pStyle w:val="Contents1"/>
        <w:spacing w:lineRule="auto" w:line="27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3.</w:t>
        <w:tab/>
      </w:r>
      <w:r>
        <w:rPr>
          <w:rFonts w:ascii="Liberation Serif" w:hAnsi="Liberation Serif"/>
          <w:b/>
          <w:bCs/>
          <w:color w:val="000000"/>
          <w:sz w:val="24"/>
          <w:szCs w:val="24"/>
        </w:rPr>
        <w:t>Требования к документации по ценообразованию на этапе закупки</w:t>
      </w:r>
      <w:r>
        <w:rPr>
          <w:rFonts w:ascii="Liberation Serif" w:hAnsi="Liberation Serif"/>
          <w:color w:val="000000"/>
          <w:sz w:val="24"/>
          <w:szCs w:val="24"/>
        </w:rPr>
        <w:tab/>
      </w:r>
      <w:r>
        <w:rPr>
          <w:rFonts w:ascii="Liberation Serif" w:hAnsi="Liberation Serif"/>
          <w:color w:val="000000"/>
          <w:sz w:val="24"/>
          <w:szCs w:val="24"/>
        </w:rPr>
        <w:t>19</w:t>
      </w:r>
    </w:p>
    <w:p>
      <w:pPr>
        <w:pStyle w:val="Contents1"/>
        <w:spacing w:lineRule="auto" w:line="27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4.</w:t>
        <w:tab/>
      </w:r>
      <w:r>
        <w:rPr>
          <w:rFonts w:cs="Times New Roman" w:ascii="Liberation Serif" w:hAnsi="Liberation Serif"/>
          <w:b/>
          <w:color w:val="000000"/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r>
        <w:rPr>
          <w:rFonts w:ascii="Liberation Serif" w:hAnsi="Liberation Serif"/>
          <w:color w:val="000000"/>
          <w:sz w:val="24"/>
          <w:szCs w:val="24"/>
        </w:rPr>
        <w:tab/>
      </w:r>
      <w:r>
        <w:rPr>
          <w:rFonts w:ascii="Liberation Serif" w:hAnsi="Liberation Serif"/>
          <w:color w:val="000000"/>
          <w:sz w:val="24"/>
          <w:szCs w:val="24"/>
        </w:rPr>
        <w:t>19</w:t>
      </w:r>
    </w:p>
    <w:p>
      <w:pPr>
        <w:pStyle w:val="Contents1"/>
        <w:spacing w:lineRule="auto" w:line="276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</w:rPr>
        <w:t>5</w:t>
      </w:r>
      <w:r>
        <w:rPr>
          <w:rFonts w:ascii="Liberation Serif" w:hAnsi="Liberation Serif"/>
          <w:color w:val="000000"/>
          <w:sz w:val="24"/>
          <w:szCs w:val="24"/>
        </w:rPr>
        <w:t>.</w:t>
        <w:tab/>
      </w:r>
      <w:r>
        <w:rPr>
          <w:rFonts w:ascii="Liberation Serif" w:hAnsi="Liberation Serif"/>
          <w:iCs/>
          <w:color w:val="000000"/>
          <w:sz w:val="24"/>
          <w:szCs w:val="24"/>
        </w:rPr>
        <w:t>Приложения</w:t>
      </w:r>
      <w:r>
        <w:rPr>
          <w:rFonts w:ascii="Liberation Serif" w:hAnsi="Liberation Serif"/>
          <w:color w:val="000000"/>
          <w:sz w:val="24"/>
          <w:szCs w:val="24"/>
        </w:rPr>
        <w:tab/>
      </w:r>
      <w:r>
        <w:rPr>
          <w:rFonts w:ascii="Liberation Serif" w:hAnsi="Liberation Serif"/>
          <w:color w:val="000000"/>
          <w:sz w:val="24"/>
          <w:szCs w:val="24"/>
        </w:rPr>
        <w:t>2</w:t>
      </w:r>
      <w:r>
        <w:rPr>
          <w:rFonts w:ascii="Liberation Serif" w:hAnsi="Liberation Serif"/>
          <w:color w:val="000000"/>
          <w:sz w:val="24"/>
          <w:szCs w:val="24"/>
        </w:rPr>
        <w:t>0</w:t>
      </w:r>
    </w:p>
    <w:p>
      <w:pPr>
        <w:pStyle w:val="ListParagrap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ListParagrap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widowControl/>
        <w:numPr>
          <w:ilvl w:val="0"/>
          <w:numId w:val="5"/>
        </w:numPr>
        <w:tabs>
          <w:tab w:val="clear" w:pos="708"/>
          <w:tab w:val="left" w:pos="288" w:leader="none"/>
        </w:tabs>
        <w:suppressAutoHyphens w:val="true"/>
        <w:bidi w:val="0"/>
        <w:spacing w:lineRule="auto" w:line="240" w:before="0" w:after="0"/>
        <w:ind w:left="0" w:right="0" w:hanging="0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  <w:sz w:val="26"/>
          <w:szCs w:val="26"/>
        </w:rPr>
        <w:t>Общие сведения</w:t>
      </w:r>
    </w:p>
    <w:p>
      <w:pPr>
        <w:pStyle w:val="Normal"/>
        <w:numPr>
          <w:ilvl w:val="0"/>
          <w:numId w:val="0"/>
        </w:numPr>
        <w:ind w:left="720" w:hanging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widowControl/>
        <w:numPr>
          <w:ilvl w:val="1"/>
          <w:numId w:val="5"/>
        </w:numPr>
        <w:tabs>
          <w:tab w:val="clear" w:pos="708"/>
          <w:tab w:val="left" w:pos="288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Обозначения и сокращения, используемые в Техничес</w:t>
      </w:r>
      <w:r>
        <w:rPr>
          <w:rFonts w:ascii="Liberation Serif" w:hAnsi="Liberation Serif"/>
          <w:b/>
          <w:bCs/>
          <w:sz w:val="24"/>
          <w:szCs w:val="24"/>
        </w:rPr>
        <w:t>ком</w:t>
      </w:r>
      <w:r>
        <w:rPr>
          <w:rFonts w:ascii="Liberation Serif" w:hAnsi="Liberation Serif"/>
          <w:b/>
          <w:bCs/>
          <w:sz w:val="24"/>
          <w:szCs w:val="24"/>
        </w:rPr>
        <w:t xml:space="preserve"> </w:t>
      </w:r>
      <w:r>
        <w:rPr>
          <w:rFonts w:ascii="Liberation Serif" w:hAnsi="Liberation Serif"/>
          <w:b/>
          <w:bCs/>
          <w:sz w:val="24"/>
          <w:szCs w:val="24"/>
        </w:rPr>
        <w:t>задании</w:t>
      </w:r>
    </w:p>
    <w:p>
      <w:pPr>
        <w:pStyle w:val="ListParagraph"/>
        <w:rPr>
          <w:rFonts w:ascii="Times New Roman" w:hAnsi="Times New Roman"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1785"/>
        <w:gridCol w:w="7998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ВЛ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Воздушная линия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ГОСТ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Государственный стандарт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ЕГРН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Единый государственный реестр недвижимости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Ед.изм.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color w:val="2D2D2D"/>
                <w:spacing w:val="2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ЗУ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color w:val="2D2D2D"/>
                <w:spacing w:val="2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земельный участок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ИРД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исходно-разрешительная документация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кВ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 напряжения киловольт</w:t>
            </w:r>
          </w:p>
        </w:tc>
      </w:tr>
      <w:tr>
        <w:trPr>
          <w:trHeight w:val="345" w:hRule="atLeast"/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кВт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 мощности киловатт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КЛ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кабельная линия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Кол-во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количество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КПТ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кадастровый план территории;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color w:val="2D2D2D"/>
                <w:spacing w:val="2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ЛСР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color w:val="2D2D2D"/>
                <w:spacing w:val="2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локальный сметный расчет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ЛЭП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линия электропередач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мм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 в миллиметрах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МО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Муниципальное образование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НПА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нормативно-правовой акт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НТД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нормативно-техническая документация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ПД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Проектная документация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ПОТЭЭУ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Правила по охране турда при эксплуатации электроустановок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ПС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подстанция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ПСД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Проектно-сметная документация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color w:val="2D2D2D"/>
                <w:spacing w:val="2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ПУД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color w:val="2D2D2D"/>
                <w:spacing w:val="2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правоустанавливающий документ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ПУЭ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Правила устройства электроустановок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РФ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Российская Федерация;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РД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рабочая документация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РТП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распределительный трансформаторный пункт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РЭС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районные электрические сети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РУ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Распределительное устройство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см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color w:val="2D2D2D"/>
                <w:spacing w:val="2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единица измерения в сантиметрах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СВ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color w:val="2D2D2D"/>
                <w:spacing w:val="2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Секционный выключатель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СП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струтурное подразделение филиала АО “ДРСК”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СП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Свод правил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СПиП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Строительные нормы и правила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СРО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саморегулируемая организация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color w:val="2D2D2D"/>
                <w:spacing w:val="2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тн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color w:val="2D2D2D"/>
                <w:spacing w:val="2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единица измерения в тоннах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ТП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Трансформаторная подстанция / трансформаторный пункт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ТТ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ТЗ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Техническое задание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ТУ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Технические условия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шт.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 в штуках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color w:val="2D2D2D"/>
                <w:spacing w:val="2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ЭПУ</w:t>
            </w:r>
          </w:p>
        </w:tc>
        <w:tc>
          <w:tcPr>
            <w:tcW w:w="7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jc w:val="both"/>
              <w:rPr>
                <w:color w:val="2D2D2D"/>
                <w:spacing w:val="2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Энерго-принимающее устройство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widowControl/>
        <w:tabs>
          <w:tab w:val="clear" w:pos="708"/>
          <w:tab w:val="left" w:pos="0" w:leader="none"/>
          <w:tab w:val="left" w:pos="288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Normal"/>
        <w:widowControl/>
        <w:numPr>
          <w:ilvl w:val="1"/>
          <w:numId w:val="5"/>
        </w:numPr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Наименование закупаемой продукции (закупаемых работ)</w:t>
      </w:r>
    </w:p>
    <w:p>
      <w:pPr>
        <w:pStyle w:val="Normal"/>
        <w:jc w:val="both"/>
        <w:rPr>
          <w:rFonts w:ascii="Liberation Serif" w:hAnsi="Liberation Serif"/>
          <w:b w:val="false"/>
          <w:bCs w:val="false"/>
          <w:i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</w:pPr>
      <w:r>
        <w:rPr>
          <w:rFonts w:ascii="Liberation Serif" w:hAnsi="Liberation Serif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ОКПД2 42.22.22.1</w:t>
      </w:r>
      <w:r>
        <w:rPr>
          <w:rFonts w:ascii="Liberation Serif" w:hAnsi="Liberation Serif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1</w:t>
      </w:r>
      <w:r>
        <w:rPr>
          <w:rFonts w:ascii="Liberation Serif" w:hAnsi="Liberation Serif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0. </w:t>
      </w:r>
      <w:r>
        <w:rPr>
          <w:rFonts w:ascii="Liberation Serif" w:hAnsi="Liberation Serif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Выполнение </w:t>
      </w:r>
      <w:r>
        <w:rPr>
          <w:rFonts w:ascii="Liberation Serif" w:hAnsi="Liberation Serif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проектно-изыскательских и </w:t>
      </w:r>
      <w:r>
        <w:rPr>
          <w:rFonts w:ascii="Liberation Serif" w:hAnsi="Liberation Serif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строительно-монтажных</w:t>
      </w:r>
      <w:r>
        <w:rPr>
          <w:rFonts w:ascii="Liberation Serif" w:hAnsi="Liberation Serif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 </w:t>
      </w:r>
      <w:r>
        <w:rPr>
          <w:rFonts w:ascii="Liberation Serif" w:hAnsi="Liberation Serif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работ по строительству КЛ-10кВ протяженностью 0,129 км, ВЛ-10 кВ протяженностью 1,006 км, установка РЛНД — 1шт, установка прибора учета -1 шт. п.Беркакит </w:t>
      </w:r>
      <w:r>
        <w:rPr>
          <w:rFonts w:ascii="Liberation Serif" w:hAnsi="Liberation Serif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(в том числе разработать проектно-сметную документацию)</w:t>
      </w:r>
      <w:r>
        <w:rPr>
          <w:rFonts w:ascii="Liberation Serif" w:hAnsi="Liberation Serif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 xml:space="preserve"> для технологического присоединения заявителя ООО «ПКК-Я</w:t>
      </w:r>
      <w:r>
        <w:rPr>
          <w:rFonts w:ascii="Liberation Serif" w:hAnsi="Liberation Serif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КУТИЯ</w:t>
      </w:r>
      <w:r>
        <w:rPr>
          <w:rFonts w:ascii="Liberation Serif" w:hAnsi="Liberation Serif"/>
          <w:b w:val="false"/>
          <w:bCs w:val="false"/>
          <w:i w:val="false"/>
          <w:strike w:val="false"/>
          <w:dstrike w:val="false"/>
          <w:outline w:val="false"/>
          <w:shadow w:val="false"/>
          <w:sz w:val="26"/>
          <w:szCs w:val="26"/>
          <w:u w:val="none"/>
          <w:em w:val="none"/>
        </w:rPr>
        <w:t>».</w:t>
      </w:r>
    </w:p>
    <w:p>
      <w:pPr>
        <w:pStyle w:val="Normal"/>
        <w:spacing w:lineRule="auto" w:line="2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  <w:bookmarkStart w:id="1" w:name="_Toc46743507"/>
      <w:bookmarkStart w:id="2" w:name="_Toc46743507"/>
    </w:p>
    <w:p>
      <w:pPr>
        <w:pStyle w:val="Normal"/>
        <w:widowControl/>
        <w:numPr>
          <w:ilvl w:val="1"/>
          <w:numId w:val="5"/>
        </w:numPr>
        <w:tabs>
          <w:tab w:val="clear" w:pos="708"/>
          <w:tab w:val="left" w:pos="288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Liberation Serif" w:hAnsi="Liberation Serif"/>
          <w:b/>
          <w:bCs/>
          <w:sz w:val="24"/>
          <w:szCs w:val="24"/>
        </w:rPr>
      </w:pPr>
      <w:bookmarkStart w:id="3" w:name="_Toc46743507"/>
      <w:r>
        <w:rPr>
          <w:rFonts w:ascii="Liberation Serif" w:hAnsi="Liberation Serif"/>
          <w:b/>
          <w:bCs/>
          <w:sz w:val="24"/>
          <w:szCs w:val="24"/>
        </w:rPr>
        <w:t xml:space="preserve">Цель </w:t>
      </w:r>
      <w:bookmarkEnd w:id="3"/>
      <w:r>
        <w:rPr>
          <w:rFonts w:ascii="Liberation Serif" w:hAnsi="Liberation Serif"/>
          <w:b/>
          <w:bCs/>
          <w:sz w:val="24"/>
          <w:szCs w:val="24"/>
        </w:rPr>
        <w:t>выполнения работ</w:t>
      </w:r>
    </w:p>
    <w:p>
      <w:pPr>
        <w:pStyle w:val="Normal"/>
        <w:jc w:val="both"/>
        <w:rPr/>
      </w:pP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 xml:space="preserve">Целью выполняемых работ является 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в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 xml:space="preserve">ыполнение 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 xml:space="preserve">инженерно-геодезических изысканий, разработка и предоставление Заказчику рабочей и сметной документации, 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 xml:space="preserve"> 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 xml:space="preserve">выполнение 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>строительно-монтажны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>х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 xml:space="preserve"> работ в отношении объектов капитального строительства, указанных в перечне объектов заказчика (Таблица 1) в соответствии с 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>Актом обследования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 xml:space="preserve"> (Приложение 1 к Т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>З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 xml:space="preserve">) 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 xml:space="preserve">для исполнения обязательств АО «ДРСК» по договору об осуществлении технологического присоединения к электрическим сетям 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 xml:space="preserve">КТП-630 кВА в количестве 1 шт, для электроснабжения производственного комплекса ООО «ПКК-ЯКУТИЯ» 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 xml:space="preserve">расположенного по адресу:  Саха (Якутия) Республика,  Нерюнгринский район, пгт.Беркакит, ул.Южная, дом №1, кадастровый номер земельного участка 14:19:210003:257. 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 xml:space="preserve"> </w:t>
      </w:r>
    </w:p>
    <w:p>
      <w:pPr>
        <w:pStyle w:val="Normal"/>
        <w:jc w:val="both"/>
        <w:rPr/>
      </w:pPr>
      <w:r>
        <w:rPr>
          <w:rFonts w:ascii="Liberation Serif" w:hAnsi="Liberation Serif"/>
          <w:b/>
          <w:bCs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>1.3.1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 xml:space="preserve"> 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 xml:space="preserve"> Договор-счет №57/26-ТП от 27.03.26 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>(Заявитель ООО «ПКК-ЯКУТИЯ»</w:t>
      </w:r>
      <w:r>
        <w:rPr>
          <w:rFonts w:ascii="Liberation Serif" w:hAnsi="Liberation Serif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>)</w:t>
      </w:r>
    </w:p>
    <w:p>
      <w:pPr>
        <w:pStyle w:val="Normal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</w:r>
    </w:p>
    <w:p>
      <w:pPr>
        <w:pStyle w:val="Normal"/>
        <w:widowControl/>
        <w:numPr>
          <w:ilvl w:val="1"/>
          <w:numId w:val="5"/>
        </w:numPr>
        <w:tabs>
          <w:tab w:val="clear" w:pos="708"/>
          <w:tab w:val="left" w:pos="288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  <w:t>Существующее положение</w:t>
      </w:r>
    </w:p>
    <w:p>
      <w:pPr>
        <w:pStyle w:val="Normal"/>
        <w:widowControl/>
        <w:numPr>
          <w:ilvl w:val="2"/>
          <w:numId w:val="5"/>
        </w:numPr>
        <w:tabs>
          <w:tab w:val="clear" w:pos="708"/>
          <w:tab w:val="left" w:pos="300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rStyle w:val="Fontstyle01"/>
          <w:rFonts w:cs="Times New Roman" w:ascii="Liberation Serif" w:hAnsi="Liberation Serif"/>
          <w:sz w:val="24"/>
          <w:szCs w:val="24"/>
        </w:rPr>
        <w:t xml:space="preserve">Вид деятельности, </w:t>
      </w:r>
      <w:r>
        <w:rPr>
          <w:rStyle w:val="Fontstyle01"/>
          <w:rFonts w:cs="Times New Roman" w:ascii="Liberation Serif" w:hAnsi="Liberation Serif"/>
          <w:sz w:val="24"/>
          <w:szCs w:val="24"/>
        </w:rPr>
        <w:t>в отношении которой выполняются работы</w:t>
      </w:r>
      <w:r>
        <w:rPr>
          <w:rStyle w:val="Fontstyle01"/>
          <w:rFonts w:cs="Times New Roman" w:ascii="Liberation Serif" w:hAnsi="Liberation Serif"/>
          <w:sz w:val="24"/>
          <w:szCs w:val="24"/>
        </w:rPr>
        <w:t xml:space="preserve"> — </w:t>
      </w:r>
      <w:r>
        <w:rPr>
          <w:rStyle w:val="Fontstyle01"/>
          <w:rFonts w:cs="Times New Roman" w:ascii="Liberation Serif" w:hAnsi="Liberation Serif"/>
          <w:sz w:val="24"/>
          <w:szCs w:val="24"/>
        </w:rPr>
        <w:t>п</w:t>
      </w:r>
      <w:r>
        <w:rPr>
          <w:rStyle w:val="Fontstyle01"/>
          <w:rFonts w:cs="Times New Roman"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 xml:space="preserve">роектно-изыскательские </w:t>
      </w:r>
      <w:r>
        <w:rPr>
          <w:rStyle w:val="Fontstyle01"/>
          <w:rFonts w:cs="Times New Roman"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 xml:space="preserve">, </w:t>
      </w:r>
      <w:r>
        <w:rPr>
          <w:rStyle w:val="Fontstyle01"/>
          <w:rFonts w:cs="Times New Roman" w:ascii="Liberation Serif" w:hAnsi="Liberation Serif"/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новое строительство.</w:t>
      </w:r>
    </w:p>
    <w:p>
      <w:pPr>
        <w:pStyle w:val="Normal"/>
        <w:widowControl/>
        <w:numPr>
          <w:ilvl w:val="2"/>
          <w:numId w:val="5"/>
        </w:numPr>
        <w:tabs>
          <w:tab w:val="clear" w:pos="708"/>
          <w:tab w:val="left" w:pos="300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Style w:val="Fontstyle01"/>
          <w:rFonts w:cs="Times New Roman"/>
          <w:sz w:val="24"/>
          <w:szCs w:val="24"/>
        </w:rPr>
        <w:t>На этапе подготовки заявки Участник закупки руководствуется следующей документацией: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300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rStyle w:val="Fontstyle01"/>
          <w:rFonts w:cs="Times New Roman" w:ascii="Liberation Serif" w:hAnsi="Liberation Serif"/>
          <w:sz w:val="24"/>
          <w:szCs w:val="24"/>
        </w:rPr>
        <w:t xml:space="preserve">Актом обследования №ТПр 57/26 от 24.03.2026 г, </w:t>
      </w:r>
      <w:r>
        <w:rPr>
          <w:rStyle w:val="Fontstyle01"/>
          <w:rFonts w:cs="Times New Roman" w:ascii="Liberation Serif" w:hAnsi="Liberation Serif"/>
          <w:sz w:val="24"/>
          <w:szCs w:val="24"/>
        </w:rPr>
        <w:t xml:space="preserve"> подготовленн</w:t>
      </w:r>
      <w:r>
        <w:rPr>
          <w:rStyle w:val="Fontstyle01"/>
          <w:rFonts w:cs="Times New Roman" w:ascii="Liberation Serif" w:hAnsi="Liberation Serif"/>
          <w:sz w:val="24"/>
          <w:szCs w:val="24"/>
        </w:rPr>
        <w:t>ы</w:t>
      </w:r>
      <w:r>
        <w:rPr>
          <w:rStyle w:val="Fontstyle01"/>
          <w:rFonts w:cs="Times New Roman" w:ascii="Liberation Serif" w:hAnsi="Liberation Serif"/>
          <w:sz w:val="24"/>
          <w:szCs w:val="24"/>
        </w:rPr>
        <w:t>м</w:t>
      </w:r>
      <w:r>
        <w:rPr>
          <w:rStyle w:val="Fontstyle01"/>
          <w:rFonts w:cs="Times New Roman" w:ascii="Liberation Serif" w:hAnsi="Liberation Serif"/>
          <w:sz w:val="24"/>
          <w:szCs w:val="24"/>
        </w:rPr>
        <w:t xml:space="preserve"> филиалом  АО «ДРСК» «ЮЯЭС» </w:t>
      </w:r>
      <w:r>
        <w:rPr>
          <w:rStyle w:val="Fontstyle01"/>
          <w:rFonts w:cs="Times New Roman" w:ascii="Liberation Serif" w:hAnsi="Liberation Serif"/>
          <w:sz w:val="24"/>
          <w:szCs w:val="24"/>
        </w:rPr>
        <w:t>(</w:t>
      </w:r>
      <w:r>
        <w:rPr>
          <w:rStyle w:val="Fontstyle01"/>
          <w:rFonts w:cs="Times New Roman" w:ascii="Liberation Serif" w:hAnsi="Liberation Serif"/>
          <w:i/>
          <w:iCs/>
          <w:sz w:val="24"/>
          <w:szCs w:val="24"/>
        </w:rPr>
        <w:t>Приложение 1 к настоящ</w:t>
      </w:r>
      <w:r>
        <w:rPr>
          <w:rStyle w:val="Fontstyle01"/>
          <w:rFonts w:cs="Times New Roman" w:ascii="Liberation Serif" w:hAnsi="Liberation Serif"/>
          <w:i/>
          <w:iCs/>
          <w:sz w:val="24"/>
          <w:szCs w:val="24"/>
        </w:rPr>
        <w:t>и</w:t>
      </w:r>
      <w:r>
        <w:rPr>
          <w:rStyle w:val="Fontstyle01"/>
          <w:rFonts w:cs="Times New Roman" w:ascii="Liberation Serif" w:hAnsi="Liberation Serif"/>
          <w:i/>
          <w:iCs/>
          <w:sz w:val="24"/>
          <w:szCs w:val="24"/>
        </w:rPr>
        <w:t>м</w:t>
      </w:r>
      <w:r>
        <w:rPr>
          <w:rStyle w:val="Fontstyle01"/>
          <w:rFonts w:cs="Times New Roman" w:ascii="Liberation Serif" w:hAnsi="Liberation Serif"/>
          <w:i/>
          <w:iCs/>
          <w:sz w:val="24"/>
          <w:szCs w:val="24"/>
        </w:rPr>
        <w:t xml:space="preserve"> Техниче</w:t>
      </w:r>
      <w:r>
        <w:rPr>
          <w:rStyle w:val="Fontstyle01"/>
          <w:rFonts w:cs="Times New Roman" w:ascii="Liberation Serif" w:hAnsi="Liberation Serif"/>
          <w:i/>
          <w:iCs/>
          <w:sz w:val="24"/>
          <w:szCs w:val="24"/>
        </w:rPr>
        <w:t>ск</w:t>
      </w:r>
      <w:r>
        <w:rPr>
          <w:rStyle w:val="Fontstyle01"/>
          <w:rFonts w:cs="Times New Roman" w:ascii="Liberation Serif" w:hAnsi="Liberation Serif"/>
          <w:i/>
          <w:iCs/>
          <w:sz w:val="24"/>
          <w:szCs w:val="24"/>
        </w:rPr>
        <w:t>им</w:t>
      </w:r>
      <w:r>
        <w:rPr>
          <w:rStyle w:val="Fontstyle01"/>
          <w:rFonts w:cs="Times New Roman" w:ascii="Liberation Serif" w:hAnsi="Liberation Serif"/>
          <w:i/>
          <w:iCs/>
          <w:sz w:val="24"/>
          <w:szCs w:val="24"/>
        </w:rPr>
        <w:t xml:space="preserve"> </w:t>
      </w:r>
      <w:r>
        <w:rPr>
          <w:rStyle w:val="Fontstyle01"/>
          <w:rFonts w:cs="Times New Roman" w:ascii="Liberation Serif" w:hAnsi="Liberation Serif"/>
          <w:i/>
          <w:iCs/>
          <w:sz w:val="24"/>
          <w:szCs w:val="24"/>
        </w:rPr>
        <w:t>требованиям</w:t>
      </w:r>
      <w:r>
        <w:rPr>
          <w:rStyle w:val="Fontstyle01"/>
          <w:rFonts w:cs="Times New Roman" w:ascii="Liberation Serif" w:hAnsi="Liberation Serif"/>
          <w:i/>
          <w:iCs/>
          <w:sz w:val="24"/>
          <w:szCs w:val="24"/>
        </w:rPr>
        <w:t xml:space="preserve"> </w:t>
      </w:r>
      <w:r>
        <w:rPr>
          <w:rStyle w:val="Fontstyle01"/>
          <w:rFonts w:cs="Times New Roman" w:ascii="Liberation Serif" w:hAnsi="Liberation Serif"/>
          <w:i/>
          <w:iCs/>
          <w:sz w:val="24"/>
          <w:szCs w:val="24"/>
        </w:rPr>
        <w:t xml:space="preserve"> – далее Т</w:t>
      </w:r>
      <w:r>
        <w:rPr>
          <w:rStyle w:val="Fontstyle01"/>
          <w:rFonts w:cs="Times New Roman" w:ascii="Liberation Serif" w:hAnsi="Liberation Serif"/>
          <w:i/>
          <w:iCs/>
          <w:sz w:val="24"/>
          <w:szCs w:val="24"/>
        </w:rPr>
        <w:t>Т</w:t>
      </w:r>
      <w:r>
        <w:rPr>
          <w:rStyle w:val="Fontstyle01"/>
          <w:rFonts w:cs="Times New Roman" w:ascii="Liberation Serif" w:hAnsi="Liberation Serif"/>
          <w:sz w:val="24"/>
          <w:szCs w:val="24"/>
        </w:rPr>
        <w:t>);</w:t>
      </w:r>
    </w:p>
    <w:p>
      <w:pPr>
        <w:pStyle w:val="Normal"/>
        <w:widowControl/>
        <w:tabs>
          <w:tab w:val="clear" w:pos="708"/>
          <w:tab w:val="left" w:pos="300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>
          <w:rStyle w:val="Fontstyle01"/>
          <w:rFonts w:cs="Times New Roman" w:ascii="Liberation Serif" w:hAnsi="Liberation Serif"/>
          <w:sz w:val="24"/>
          <w:szCs w:val="24"/>
        </w:rPr>
        <w:t xml:space="preserve"> </w:t>
      </w:r>
      <w:r>
        <w:rPr>
          <w:rStyle w:val="Fontstyle01"/>
          <w:rFonts w:cs="Times New Roman" w:ascii="Liberation Serif" w:hAnsi="Liberation Serif"/>
          <w:sz w:val="24"/>
          <w:szCs w:val="24"/>
        </w:rPr>
        <w:t xml:space="preserve">- </w:t>
      </w:r>
      <w:r>
        <w:rPr>
          <w:rStyle w:val="Fontstyle01"/>
          <w:rFonts w:cs="Times New Roman"/>
          <w:sz w:val="24"/>
          <w:szCs w:val="24"/>
          <w:lang w:eastAsia="x-none"/>
        </w:rPr>
        <w:t>Документация о закупке на право заключения договора на выполнение</w:t>
      </w:r>
      <w:r>
        <w:rPr>
          <w:rStyle w:val="Fontstyle01"/>
          <w:rFonts w:cs="Times New Roman"/>
          <w:b w:val="false"/>
          <w:bCs w:val="false"/>
          <w:sz w:val="24"/>
          <w:szCs w:val="24"/>
          <w:lang w:eastAsia="x-none"/>
        </w:rPr>
        <w:t xml:space="preserve"> </w:t>
      </w:r>
      <w:r>
        <w:rPr>
          <w:rStyle w:val="Fontstyle01"/>
          <w:rFonts w:cs="Times New Roman"/>
          <w:b w:val="false"/>
          <w:bCs w:val="false"/>
          <w:sz w:val="24"/>
          <w:szCs w:val="24"/>
          <w:lang w:eastAsia="x-none"/>
        </w:rPr>
        <w:t>работ</w:t>
      </w:r>
      <w:r>
        <w:rPr>
          <w:rStyle w:val="Fontstyle01"/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  <w:lang w:eastAsia="x-none"/>
        </w:rPr>
        <w:t>.</w:t>
      </w:r>
    </w:p>
    <w:p>
      <w:pPr>
        <w:pStyle w:val="Heading3"/>
        <w:numPr>
          <w:ilvl w:val="2"/>
          <w:numId w:val="5"/>
        </w:numPr>
        <w:rPr/>
      </w:pPr>
      <w:r>
        <w:rPr>
          <w:rStyle w:val="Fontstyle01"/>
          <w:rFonts w:cs="Times New Roman" w:ascii="Liberation Serif" w:hAnsi="Liberation Serif"/>
          <w:b w:val="false"/>
          <w:b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>Выполнение инженерно-геодезических изысканий для строительства ВЛ</w:t>
      </w:r>
    </w:p>
    <w:p>
      <w:pPr>
        <w:pStyle w:val="Normal"/>
        <w:spacing w:lineRule="auto" w:line="240"/>
        <w:jc w:val="right"/>
        <w:rPr/>
      </w:pPr>
      <w:r>
        <w:rPr>
          <w:rStyle w:val="Fontstyle01"/>
          <w:rFonts w:cs="Times New Roman" w:ascii="Liberation Serif" w:hAnsi="Liberation Serif"/>
          <w:b/>
          <w:b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>Т</w:t>
      </w:r>
      <w:r>
        <w:rPr>
          <w:rFonts w:ascii="Liberation Serif" w:hAnsi="Liberation Serif"/>
          <w:b/>
          <w:szCs w:val="24"/>
        </w:rPr>
        <w:t>аблица 1. Перечень объектов заказчика</w:t>
      </w:r>
      <w:bookmarkStart w:id="4" w:name="_Toc54646398_Копия_1"/>
    </w:p>
    <w:tbl>
      <w:tblPr>
        <w:tblW w:w="9918" w:type="dxa"/>
        <w:jc w:val="left"/>
        <w:tblInd w:w="-5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</w:tblPr>
      <w:tblGrid>
        <w:gridCol w:w="561"/>
        <w:gridCol w:w="1590"/>
        <w:gridCol w:w="2377"/>
        <w:gridCol w:w="1713"/>
        <w:gridCol w:w="3677"/>
      </w:tblGrid>
      <w:tr>
        <w:trPr>
          <w:trHeight w:val="1105" w:hRule="atLeast"/>
        </w:trPr>
        <w:tc>
          <w:tcPr>
            <w:tcW w:w="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№</w:t>
            </w:r>
          </w:p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п/п</w:t>
            </w:r>
          </w:p>
        </w:tc>
        <w:tc>
          <w:tcPr>
            <w:tcW w:w="15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Наименование объекта</w:t>
            </w:r>
          </w:p>
        </w:tc>
        <w:tc>
          <w:tcPr>
            <w:tcW w:w="23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/>
            </w:pPr>
            <w:r>
              <w:rPr>
                <w:rFonts w:ascii="Liberation Serif" w:hAnsi="Liberation Serif"/>
                <w:szCs w:val="24"/>
              </w:rPr>
              <w:t xml:space="preserve">Расположение объекта </w:t>
            </w:r>
            <w:r>
              <w:rPr>
                <w:rFonts w:ascii="Liberation Serif" w:hAnsi="Liberation Serif"/>
                <w:i/>
                <w:szCs w:val="24"/>
              </w:rPr>
              <w:t>(место производства работ)</w:t>
            </w:r>
          </w:p>
        </w:tc>
        <w:tc>
          <w:tcPr>
            <w:tcW w:w="17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/>
            </w:pPr>
            <w:r>
              <w:rPr>
                <w:rFonts w:ascii="Liberation Serif" w:hAnsi="Liberation Serif"/>
                <w:szCs w:val="24"/>
              </w:rPr>
              <w:t xml:space="preserve">Наименование основного средства </w:t>
              <w:br/>
            </w:r>
            <w:r>
              <w:rPr>
                <w:rFonts w:ascii="Liberation Serif" w:hAnsi="Liberation Serif"/>
                <w:i/>
                <w:iCs/>
                <w:szCs w:val="24"/>
              </w:rPr>
              <w:t>(в отношении которого выполняются работы)</w:t>
            </w:r>
          </w:p>
        </w:tc>
        <w:tc>
          <w:tcPr>
            <w:tcW w:w="3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Примечания</w:t>
            </w:r>
          </w:p>
        </w:tc>
      </w:tr>
      <w:tr>
        <w:trPr>
          <w:trHeight w:val="164" w:hRule="atLeast"/>
        </w:trPr>
        <w:tc>
          <w:tcPr>
            <w:tcW w:w="561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b/>
                <w:szCs w:val="24"/>
              </w:rPr>
            </w:pPr>
            <w:r>
              <w:rPr>
                <w:rFonts w:ascii="Liberation Serif" w:hAnsi="Liberation Serif"/>
                <w:b/>
                <w:szCs w:val="24"/>
              </w:rPr>
              <w:t>1</w:t>
            </w:r>
          </w:p>
        </w:tc>
        <w:tc>
          <w:tcPr>
            <w:tcW w:w="1590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b/>
                <w:szCs w:val="24"/>
              </w:rPr>
            </w:pPr>
            <w:r>
              <w:rPr>
                <w:rFonts w:ascii="Liberation Serif" w:hAnsi="Liberation Serif"/>
                <w:b/>
                <w:szCs w:val="24"/>
              </w:rPr>
              <w:t>2</w:t>
            </w:r>
          </w:p>
        </w:tc>
        <w:tc>
          <w:tcPr>
            <w:tcW w:w="2377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b/>
                <w:szCs w:val="24"/>
              </w:rPr>
            </w:pPr>
            <w:r>
              <w:rPr>
                <w:rFonts w:ascii="Liberation Serif" w:hAnsi="Liberation Serif"/>
                <w:b/>
                <w:szCs w:val="24"/>
              </w:rPr>
              <w:t>3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b/>
                <w:szCs w:val="24"/>
              </w:rPr>
            </w:pPr>
            <w:r>
              <w:rPr>
                <w:rFonts w:ascii="Liberation Serif" w:hAnsi="Liberation Serif"/>
                <w:b/>
                <w:szCs w:val="24"/>
              </w:rPr>
              <w:t>4</w:t>
            </w:r>
          </w:p>
        </w:tc>
        <w:tc>
          <w:tcPr>
            <w:tcW w:w="36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b/>
                <w:szCs w:val="24"/>
              </w:rPr>
            </w:pPr>
            <w:r>
              <w:rPr>
                <w:rFonts w:ascii="Liberation Serif" w:hAnsi="Liberation Serif"/>
                <w:b/>
                <w:szCs w:val="24"/>
              </w:rPr>
              <w:t>5</w:t>
            </w:r>
          </w:p>
        </w:tc>
      </w:tr>
      <w:tr>
        <w:trPr>
          <w:trHeight w:val="164" w:hRule="atLeast"/>
        </w:trPr>
        <w:tc>
          <w:tcPr>
            <w:tcW w:w="561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/>
            </w:pPr>
            <w:r>
              <w:rPr/>
            </w:r>
          </w:p>
        </w:tc>
        <w:tc>
          <w:tcPr>
            <w:tcW w:w="1590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rPr/>
            </w:pPr>
            <w:r>
              <w:rPr/>
            </w:r>
          </w:p>
          <w:p>
            <w:pPr>
              <w:pStyle w:val="Normal"/>
              <w:tabs>
                <w:tab w:val="clear" w:pos="708"/>
              </w:tabs>
              <w:spacing w:lineRule="auto" w:line="240"/>
              <w:rPr>
                <w:rFonts w:ascii="Liberation Serif" w:hAnsi="Liberation Serif"/>
                <w:b w:val="false"/>
                <w:bCs w:val="false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Cs w:val="24"/>
              </w:rPr>
              <w:t>ВЛ-10 кВ «ПКК ЯКУТИЯ» от оп.№1 до оп.№18</w:t>
            </w:r>
          </w:p>
        </w:tc>
        <w:tc>
          <w:tcPr>
            <w:tcW w:w="2377" w:type="dxa"/>
            <w:tcBorders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i/>
                <w:i/>
                <w:szCs w:val="24"/>
              </w:rPr>
            </w:pPr>
            <w:r>
              <w:rPr>
                <w:i/>
                <w:szCs w:val="24"/>
              </w:rPr>
            </w:r>
          </w:p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Саха (Якутия) Республика,  Нерюнгринский район, пгт.Беркакит, ул.Южная, дом №1, кадастровый номер земельного участка 14:19:210003:257.</w:t>
            </w:r>
          </w:p>
        </w:tc>
        <w:tc>
          <w:tcPr>
            <w:tcW w:w="1713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i/>
                <w:i/>
                <w:szCs w:val="24"/>
              </w:rPr>
            </w:pPr>
            <w:r>
              <w:rPr>
                <w:i/>
                <w:szCs w:val="24"/>
              </w:rPr>
            </w:r>
          </w:p>
        </w:tc>
        <w:tc>
          <w:tcPr>
            <w:tcW w:w="36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BodyTextIndent"/>
              <w:widowControl/>
              <w:numPr>
                <w:ilvl w:val="0"/>
                <w:numId w:val="0"/>
              </w:numPr>
              <w:suppressAutoHyphens w:val="true"/>
              <w:bidi w:val="0"/>
              <w:spacing w:before="0" w:after="0"/>
              <w:ind w:left="0" w:right="0" w:hanging="0"/>
              <w:contextualSpacing/>
              <w:jc w:val="both"/>
              <w:rPr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</w:r>
          </w:p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- выполнить  инженерно-геодезические  изыскания;</w:t>
            </w:r>
          </w:p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 xml:space="preserve">- вынести в натуре, закрепление оси трассы и привязка оси трассы  к пунктам геодезической основы с использованием геодезических спутниковых приемников и (или) приложением теодолитных (тахеометрических) ходов по оси трассы с закреплением точек начала и конца трассы, створных точек и углов поворота. </w:t>
            </w:r>
          </w:p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/>
            </w:pPr>
            <w:r>
              <w:rPr>
                <w:rFonts w:ascii="Liberation Serif" w:hAnsi="Liberation Serif"/>
                <w:szCs w:val="24"/>
              </w:rPr>
              <w:t>- подготовить программу инженерно-геодезических изысканий и метод их выполнения. Представить Программу инженерных изысканий в АО «ДРСК» (далее — Заказчик) для утверждения в срок не менее чем за 10 рабочих дней, до начала работ по выполнению инженерных изысканий;</w:t>
            </w:r>
          </w:p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- результат инженерно-геодезических изысканий должен отвечать установленным требованиям и оформляться в виде технического отчета в соответствии с техническими регламентами, стандартами и иными требованиями, предусмотренными законодательством Российской Федерации о техническом регулировании. Результат инженерно-геодезических изысканий необходимо согласовать с Заказчиком;</w:t>
            </w:r>
          </w:p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- сбор исходных данных производится подрядчиком самостоятельно, с выездом специалистов на объекты. Заказчик обеспечивает доступ на объект и оказывает необходимое содействие в сборе исходных данных;</w:t>
            </w:r>
          </w:p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- подготовить отчёт по инженерно-геодезическим изысканиям в объёме достаточном для разработки рабочей документации.</w:t>
            </w:r>
          </w:p>
        </w:tc>
      </w:tr>
    </w:tbl>
    <w:p>
      <w:pPr>
        <w:pStyle w:val="Normal"/>
        <w:spacing w:before="0" w:after="0"/>
        <w:rPr>
          <w:rFonts w:ascii="Liberation Serif" w:hAnsi="Liberation Serif"/>
          <w:szCs w:val="24"/>
        </w:rPr>
      </w:pPr>
      <w:r>
        <w:rPr>
          <w:rFonts w:ascii="Liberation Serif" w:hAnsi="Liberation Serif"/>
          <w:szCs w:val="24"/>
        </w:rPr>
      </w:r>
    </w:p>
    <w:p>
      <w:pPr>
        <w:pStyle w:val="Normal"/>
        <w:spacing w:before="0" w:after="0"/>
        <w:rPr>
          <w:rFonts w:ascii="Liberation Serif" w:hAnsi="Liberation Serif"/>
          <w:szCs w:val="24"/>
        </w:rPr>
      </w:pPr>
      <w:r>
        <w:rPr>
          <w:rFonts w:ascii="Liberation Serif" w:hAnsi="Liberation Serif"/>
          <w:b/>
          <w:bCs/>
          <w:szCs w:val="24"/>
        </w:rPr>
        <w:t>1.4.4</w:t>
      </w:r>
      <w:r>
        <w:rPr>
          <w:rFonts w:ascii="Liberation Serif" w:hAnsi="Liberation Serif"/>
          <w:szCs w:val="24"/>
        </w:rPr>
        <w:t xml:space="preserve"> </w:t>
      </w:r>
      <w:r>
        <w:rPr>
          <w:rStyle w:val="Fontstyle01"/>
          <w:rFonts w:eastAsia="Calibri" w:cs="Times New Roman" w:ascii="Liberation Serif" w:hAnsi="Liberation Serif"/>
          <w:strike w:val="false"/>
          <w:dstrike w:val="false"/>
          <w:outline w:val="false"/>
          <w:shadow w:val="false"/>
          <w:u w:val="none"/>
          <w:shd w:fill="auto" w:val="clear"/>
          <w:em w:val="none"/>
        </w:rPr>
        <w:t>Р</w:t>
      </w:r>
      <w:r>
        <w:rPr>
          <w:rStyle w:val="Fontstyle01"/>
          <w:rFonts w:eastAsia="Calibri" w:cs="Times New Roman" w:ascii="Liberation Serif" w:hAnsi="Liberation Serif"/>
          <w:strike w:val="false"/>
          <w:dstrike w:val="false"/>
          <w:outline w:val="false"/>
          <w:shadow w:val="false"/>
          <w:u w:val="none"/>
          <w:em w:val="none"/>
        </w:rPr>
        <w:t>азработать рабочую и сметную документацию по строительству объектов, указанных в Таблице 1, в достаточном объёме для выполнения строительных, электромонтажных и пусконаладочных работ, в целях исполнения обязательств сетевой организации по технологическому присоединения заявителя к электрическим сетям.</w:t>
      </w:r>
    </w:p>
    <w:p>
      <w:pPr>
        <w:pStyle w:val="Normal"/>
        <w:spacing w:lineRule="auto" w:line="240"/>
        <w:jc w:val="right"/>
        <w:rPr/>
      </w:pPr>
      <w:r>
        <w:rPr>
          <w:rStyle w:val="Fontstyle01"/>
          <w:rFonts w:eastAsia="Times New Roman" w:cs="Times New Roman" w:ascii="Liberation Serif" w:hAnsi="Liberation Serif"/>
          <w:b/>
          <w:strike w:val="false"/>
          <w:dstrike w:val="false"/>
          <w:outline w:val="false"/>
          <w:shadow w:val="false"/>
          <w:u w:val="none"/>
          <w:em w:val="none"/>
        </w:rPr>
        <w:t>Т</w:t>
      </w:r>
      <w:r>
        <w:rPr>
          <w:rFonts w:ascii="Liberation Serif" w:hAnsi="Liberation Serif"/>
          <w:b/>
          <w:szCs w:val="24"/>
        </w:rPr>
        <w:t>аблица 1. Перечень объектов заказчика</w:t>
      </w:r>
    </w:p>
    <w:tbl>
      <w:tblPr>
        <w:tblW w:w="9918" w:type="dxa"/>
        <w:jc w:val="left"/>
        <w:tblInd w:w="-5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</w:tblPr>
      <w:tblGrid>
        <w:gridCol w:w="561"/>
        <w:gridCol w:w="2552"/>
        <w:gridCol w:w="2437"/>
        <w:gridCol w:w="1481"/>
        <w:gridCol w:w="2887"/>
      </w:tblGrid>
      <w:tr>
        <w:trPr>
          <w:trHeight w:val="1105" w:hRule="atLeast"/>
        </w:trPr>
        <w:tc>
          <w:tcPr>
            <w:tcW w:w="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№</w:t>
            </w:r>
          </w:p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Наименование объекта</w:t>
            </w:r>
          </w:p>
        </w:tc>
        <w:tc>
          <w:tcPr>
            <w:tcW w:w="2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/>
            </w:pPr>
            <w:r>
              <w:rPr>
                <w:rFonts w:ascii="Liberation Serif" w:hAnsi="Liberation Serif"/>
                <w:szCs w:val="24"/>
              </w:rPr>
              <w:t xml:space="preserve">Расположение объекта </w:t>
            </w:r>
            <w:r>
              <w:rPr>
                <w:rFonts w:ascii="Liberation Serif" w:hAnsi="Liberation Serif"/>
                <w:i/>
                <w:szCs w:val="24"/>
              </w:rPr>
              <w:t>(место производства работ)</w:t>
            </w:r>
          </w:p>
        </w:tc>
        <w:tc>
          <w:tcPr>
            <w:tcW w:w="14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/>
            </w:pPr>
            <w:r>
              <w:rPr>
                <w:rFonts w:ascii="Liberation Serif" w:hAnsi="Liberation Serif"/>
                <w:szCs w:val="24"/>
              </w:rPr>
              <w:t xml:space="preserve">Наименование основного средства </w:t>
              <w:br/>
            </w:r>
            <w:r>
              <w:rPr>
                <w:rFonts w:ascii="Liberation Serif" w:hAnsi="Liberation Serif"/>
                <w:i/>
                <w:iCs/>
                <w:szCs w:val="24"/>
              </w:rPr>
              <w:t>(в отношении которого выполняются работы)</w:t>
            </w:r>
          </w:p>
        </w:tc>
        <w:tc>
          <w:tcPr>
            <w:tcW w:w="28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Примечания</w:t>
            </w:r>
          </w:p>
        </w:tc>
      </w:tr>
      <w:tr>
        <w:trPr>
          <w:trHeight w:val="164" w:hRule="atLeast"/>
        </w:trPr>
        <w:tc>
          <w:tcPr>
            <w:tcW w:w="561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b/>
                <w:szCs w:val="24"/>
              </w:rPr>
            </w:pPr>
            <w:r>
              <w:rPr>
                <w:rFonts w:ascii="Liberation Serif" w:hAnsi="Liberation Serif"/>
                <w:b/>
                <w:szCs w:val="24"/>
              </w:rPr>
              <w:t>1</w:t>
            </w:r>
          </w:p>
        </w:tc>
        <w:tc>
          <w:tcPr>
            <w:tcW w:w="2552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b/>
                <w:szCs w:val="24"/>
              </w:rPr>
            </w:pPr>
            <w:r>
              <w:rPr>
                <w:rFonts w:ascii="Liberation Serif" w:hAnsi="Liberation Serif"/>
                <w:b/>
                <w:szCs w:val="24"/>
              </w:rPr>
              <w:t>2</w:t>
            </w:r>
          </w:p>
        </w:tc>
        <w:tc>
          <w:tcPr>
            <w:tcW w:w="2437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b/>
                <w:szCs w:val="24"/>
              </w:rPr>
            </w:pPr>
            <w:r>
              <w:rPr>
                <w:rFonts w:ascii="Liberation Serif" w:hAnsi="Liberation Serif"/>
                <w:b/>
                <w:szCs w:val="24"/>
              </w:rPr>
              <w:t>3</w:t>
            </w:r>
          </w:p>
        </w:tc>
        <w:tc>
          <w:tcPr>
            <w:tcW w:w="1481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b/>
                <w:szCs w:val="24"/>
              </w:rPr>
            </w:pPr>
            <w:r>
              <w:rPr>
                <w:rFonts w:ascii="Liberation Serif" w:hAnsi="Liberation Serif"/>
                <w:b/>
                <w:szCs w:val="24"/>
              </w:rPr>
              <w:t>4</w:t>
            </w:r>
          </w:p>
        </w:tc>
        <w:tc>
          <w:tcPr>
            <w:tcW w:w="288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b/>
                <w:szCs w:val="24"/>
              </w:rPr>
            </w:pPr>
            <w:r>
              <w:rPr>
                <w:rFonts w:ascii="Liberation Serif" w:hAnsi="Liberation Serif"/>
                <w:b/>
                <w:szCs w:val="24"/>
              </w:rPr>
              <w:t>5</w:t>
            </w:r>
          </w:p>
        </w:tc>
      </w:tr>
      <w:tr>
        <w:trPr>
          <w:trHeight w:val="164" w:hRule="atLeast"/>
        </w:trPr>
        <w:tc>
          <w:tcPr>
            <w:tcW w:w="561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b/>
                <w:szCs w:val="24"/>
              </w:rPr>
            </w:pPr>
            <w:r>
              <w:rPr>
                <w:rFonts w:ascii="Liberation Serif" w:hAnsi="Liberation Serif"/>
                <w:b/>
                <w:szCs w:val="24"/>
              </w:rPr>
              <w:t>1</w:t>
            </w:r>
          </w:p>
        </w:tc>
        <w:tc>
          <w:tcPr>
            <w:tcW w:w="2552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b w:val="false"/>
                <w:bCs w:val="false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Cs w:val="24"/>
              </w:rPr>
              <w:t>КЛ-10 кВ «ПКК-ЯКУТИЯ» от отходящих контактов яч. №2а «ПКК-ЯКУТИЯ» ЗРУ-10 кВ ПС 110 кВ Беркакит до оп.№1 ВЛ-10 кВ «ПКК-ЯКУТИЯ»</w:t>
            </w:r>
          </w:p>
        </w:tc>
        <w:tc>
          <w:tcPr>
            <w:tcW w:w="2437" w:type="dxa"/>
            <w:vMerge w:val="restart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b/>
                <w:szCs w:val="24"/>
              </w:rPr>
            </w:pPr>
            <w:r>
              <w:rPr>
                <w:rFonts w:ascii="Liberation Serif" w:hAnsi="Liberation Serif"/>
                <w:b/>
                <w:szCs w:val="24"/>
              </w:rPr>
            </w:r>
          </w:p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i/>
                <w:i/>
                <w:szCs w:val="24"/>
              </w:rPr>
            </w:pPr>
            <w:r>
              <w:rPr>
                <w:i/>
                <w:szCs w:val="24"/>
              </w:rPr>
            </w:r>
          </w:p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Саха (Якутия) Республика,  Нерюнгринский район, пгт.Беркакит, ул.Южная, дом №1, кадастровый номер земельного участка 14:19:210003:257.</w:t>
            </w:r>
          </w:p>
        </w:tc>
        <w:tc>
          <w:tcPr>
            <w:tcW w:w="1481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b/>
                <w:szCs w:val="24"/>
              </w:rPr>
            </w:pPr>
            <w:r>
              <w:rPr>
                <w:rFonts w:ascii="Liberation Serif" w:hAnsi="Liberation Serif"/>
                <w:b/>
                <w:szCs w:val="24"/>
              </w:rPr>
            </w:r>
          </w:p>
        </w:tc>
        <w:tc>
          <w:tcPr>
            <w:tcW w:w="288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ListParagraph"/>
              <w:widowControl/>
              <w:tabs>
                <w:tab w:val="clear" w:pos="288"/>
                <w:tab w:val="left" w:pos="0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both"/>
              <w:rPr>
                <w:b w:val="false"/>
                <w:bCs w:val="false"/>
                <w:spacing w:val="-4"/>
                <w:sz w:val="26"/>
                <w:szCs w:val="26"/>
                <w:shd w:fill="FFFFFF" w:val="clear"/>
              </w:rPr>
            </w:pPr>
            <w:r>
              <w:rPr>
                <w:b w:val="false"/>
                <w:bCs w:val="false"/>
                <w:spacing w:val="-4"/>
                <w:sz w:val="26"/>
                <w:szCs w:val="26"/>
                <w:shd w:fill="FFFFFF" w:val="clear"/>
              </w:rPr>
              <w:t>- лист согласований;</w:t>
            </w:r>
          </w:p>
          <w:p>
            <w:pPr>
              <w:pStyle w:val="ListParagraph"/>
              <w:widowControl/>
              <w:tabs>
                <w:tab w:val="clear" w:pos="288"/>
                <w:tab w:val="left" w:pos="0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both"/>
              <w:rPr>
                <w:b w:val="false"/>
                <w:bCs w:val="false"/>
                <w:spacing w:val="-4"/>
                <w:sz w:val="26"/>
                <w:szCs w:val="26"/>
                <w:shd w:fill="FFFFFF" w:val="clear"/>
              </w:rPr>
            </w:pPr>
            <w:r>
              <w:rPr>
                <w:b w:val="false"/>
                <w:bCs w:val="false"/>
                <w:spacing w:val="-4"/>
                <w:sz w:val="26"/>
                <w:szCs w:val="26"/>
                <w:shd w:fill="FFFFFF" w:val="clear"/>
              </w:rPr>
              <w:t>- ведомость ссылочных и прилагаемых документов;</w:t>
            </w:r>
          </w:p>
          <w:p>
            <w:pPr>
              <w:pStyle w:val="ListParagraph"/>
              <w:widowControl/>
              <w:tabs>
                <w:tab w:val="clear" w:pos="288"/>
                <w:tab w:val="left" w:pos="0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both"/>
              <w:rPr>
                <w:b w:val="false"/>
                <w:bCs w:val="false"/>
                <w:spacing w:val="-4"/>
                <w:sz w:val="26"/>
                <w:szCs w:val="26"/>
                <w:shd w:fill="FFFFFF" w:val="clear"/>
              </w:rPr>
            </w:pPr>
            <w:r>
              <w:rPr>
                <w:b w:val="false"/>
                <w:bCs w:val="false"/>
                <w:spacing w:val="-4"/>
                <w:sz w:val="26"/>
                <w:szCs w:val="26"/>
                <w:shd w:fill="FFFFFF" w:val="clear"/>
              </w:rPr>
              <w:t>- краткая пояснительная записка с описанием строительных и электротехнических решений (климатические условия района, начальная точка трассы, конечная точка трассы, количество пересечений с инженерными сооружениями);</w:t>
            </w:r>
          </w:p>
          <w:p>
            <w:pPr>
              <w:pStyle w:val="ListParagraph"/>
              <w:widowControl/>
              <w:tabs>
                <w:tab w:val="clear" w:pos="288"/>
                <w:tab w:val="left" w:pos="0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both"/>
              <w:rPr>
                <w:b w:val="false"/>
                <w:bCs w:val="false"/>
                <w:spacing w:val="-4"/>
                <w:sz w:val="26"/>
                <w:szCs w:val="26"/>
                <w:shd w:fill="FFFFFF" w:val="clear"/>
              </w:rPr>
            </w:pPr>
            <w:r>
              <w:rPr>
                <w:b w:val="false"/>
                <w:bCs w:val="false"/>
                <w:spacing w:val="-4"/>
                <w:sz w:val="26"/>
                <w:szCs w:val="26"/>
                <w:shd w:fill="FFFFFF" w:val="clear"/>
              </w:rPr>
              <w:t>- принципиальная схема электроснабжения;</w:t>
            </w:r>
          </w:p>
          <w:p>
            <w:pPr>
              <w:pStyle w:val="ListParagraph"/>
              <w:widowControl/>
              <w:tabs>
                <w:tab w:val="clear" w:pos="288"/>
                <w:tab w:val="left" w:pos="0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both"/>
              <w:rPr>
                <w:b w:val="false"/>
                <w:bCs w:val="false"/>
                <w:spacing w:val="-4"/>
                <w:sz w:val="26"/>
                <w:szCs w:val="26"/>
                <w:shd w:fill="FFFFFF" w:val="clear"/>
              </w:rPr>
            </w:pPr>
            <w:r>
              <w:rPr>
                <w:b w:val="false"/>
                <w:bCs w:val="false"/>
                <w:spacing w:val="-4"/>
                <w:sz w:val="26"/>
                <w:szCs w:val="26"/>
                <w:shd w:fill="FFFFFF" w:val="clear"/>
              </w:rPr>
              <w:t>- план расположения КЛ на выкопировке с топографической карты в масштабе 1:500;</w:t>
            </w:r>
          </w:p>
          <w:p>
            <w:pPr>
              <w:pStyle w:val="ListParagraph"/>
              <w:widowControl/>
              <w:tabs>
                <w:tab w:val="clear" w:pos="288"/>
                <w:tab w:val="left" w:pos="0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both"/>
              <w:rPr>
                <w:b w:val="false"/>
                <w:bCs w:val="false"/>
                <w:spacing w:val="-4"/>
                <w:sz w:val="26"/>
                <w:szCs w:val="26"/>
                <w:shd w:fill="FFFFFF" w:val="clear"/>
              </w:rPr>
            </w:pPr>
            <w:r>
              <w:rPr>
                <w:b w:val="false"/>
                <w:bCs w:val="false"/>
                <w:spacing w:val="-4"/>
                <w:sz w:val="26"/>
                <w:szCs w:val="26"/>
                <w:shd w:fill="FFFFFF" w:val="clear"/>
              </w:rPr>
              <w:t>- схема чертеж прокладки кабеля в траншее в земле;</w:t>
            </w:r>
          </w:p>
          <w:p>
            <w:pPr>
              <w:pStyle w:val="ListParagraph"/>
              <w:widowControl/>
              <w:tabs>
                <w:tab w:val="clear" w:pos="288"/>
                <w:tab w:val="left" w:pos="0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both"/>
              <w:rPr>
                <w:b w:val="false"/>
                <w:bCs w:val="false"/>
                <w:spacing w:val="-4"/>
                <w:sz w:val="26"/>
                <w:szCs w:val="26"/>
                <w:shd w:fill="FFFFFF" w:val="clear"/>
              </w:rPr>
            </w:pPr>
            <w:r>
              <w:rPr>
                <w:b w:val="false"/>
                <w:bCs w:val="false"/>
                <w:spacing w:val="-4"/>
                <w:sz w:val="26"/>
                <w:szCs w:val="26"/>
                <w:shd w:fill="FFFFFF" w:val="clear"/>
              </w:rPr>
              <w:t>- чертеж защита кабеля на опоре ВЛ;</w:t>
            </w:r>
          </w:p>
          <w:p>
            <w:pPr>
              <w:pStyle w:val="ListParagraph"/>
              <w:widowControl/>
              <w:tabs>
                <w:tab w:val="clear" w:pos="288"/>
                <w:tab w:val="left" w:pos="0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both"/>
              <w:rPr>
                <w:b w:val="false"/>
                <w:bCs w:val="false"/>
                <w:spacing w:val="-4"/>
                <w:sz w:val="26"/>
                <w:szCs w:val="26"/>
                <w:shd w:fill="FFFFFF" w:val="clear"/>
              </w:rPr>
            </w:pPr>
            <w:r>
              <w:rPr>
                <w:b w:val="false"/>
                <w:bCs w:val="false"/>
                <w:spacing w:val="-4"/>
                <w:sz w:val="26"/>
                <w:szCs w:val="26"/>
                <w:shd w:fill="FFFFFF" w:val="clear"/>
              </w:rPr>
              <w:t>- чертеж соединения провода и кабеля;</w:t>
            </w:r>
          </w:p>
          <w:p>
            <w:pPr>
              <w:pStyle w:val="ListParagraph"/>
              <w:widowControl/>
              <w:tabs>
                <w:tab w:val="clear" w:pos="288"/>
                <w:tab w:val="left" w:pos="0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both"/>
              <w:rPr>
                <w:b w:val="false"/>
                <w:bCs w:val="false"/>
                <w:spacing w:val="-4"/>
                <w:sz w:val="26"/>
                <w:szCs w:val="26"/>
                <w:shd w:fill="FFFFFF" w:val="clear"/>
              </w:rPr>
            </w:pPr>
            <w:r>
              <w:rPr>
                <w:b w:val="false"/>
                <w:bCs w:val="false"/>
                <w:spacing w:val="-4"/>
                <w:sz w:val="26"/>
                <w:szCs w:val="26"/>
                <w:shd w:fill="FFFFFF" w:val="clear"/>
              </w:rPr>
              <w:t>- спецификации материалов, изделий, конструкций, оборудования</w:t>
            </w:r>
          </w:p>
          <w:p>
            <w:pPr>
              <w:pStyle w:val="ListParagraph"/>
              <w:widowControl/>
              <w:tabs>
                <w:tab w:val="clear" w:pos="288"/>
                <w:tab w:val="left" w:pos="0" w:leader="none"/>
              </w:tabs>
              <w:suppressAutoHyphens w:val="true"/>
              <w:bidi w:val="0"/>
              <w:spacing w:before="0" w:after="0"/>
              <w:ind w:left="0" w:right="0" w:hanging="0"/>
              <w:contextualSpacing/>
              <w:jc w:val="both"/>
              <w:rPr>
                <w:b w:val="false"/>
                <w:bCs w:val="false"/>
                <w:spacing w:val="-4"/>
                <w:sz w:val="26"/>
                <w:szCs w:val="26"/>
                <w:shd w:fill="FFFFFF" w:val="clear"/>
              </w:rPr>
            </w:pPr>
            <w:r>
              <w:rPr>
                <w:b w:val="false"/>
                <w:bCs w:val="false"/>
                <w:spacing w:val="-4"/>
                <w:sz w:val="26"/>
                <w:szCs w:val="26"/>
                <w:shd w:fill="FFFFFF" w:val="clear"/>
              </w:rPr>
              <w:t>лист регистрации замечаний и изменений.</w:t>
            </w:r>
          </w:p>
        </w:tc>
      </w:tr>
      <w:tr>
        <w:trPr>
          <w:trHeight w:val="164" w:hRule="atLeast"/>
        </w:trPr>
        <w:tc>
          <w:tcPr>
            <w:tcW w:w="561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b/>
                <w:szCs w:val="24"/>
              </w:rPr>
            </w:pPr>
            <w:r>
              <w:rPr>
                <w:rFonts w:ascii="Liberation Serif" w:hAnsi="Liberation Serif"/>
                <w:b/>
                <w:szCs w:val="24"/>
              </w:rPr>
            </w:r>
          </w:p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b/>
                <w:szCs w:val="24"/>
              </w:rPr>
            </w:pPr>
            <w:r>
              <w:rPr>
                <w:rFonts w:ascii="Liberation Serif" w:hAnsi="Liberation Serif"/>
                <w:b/>
                <w:szCs w:val="24"/>
              </w:rPr>
              <w:t>2</w:t>
            </w:r>
          </w:p>
        </w:tc>
        <w:tc>
          <w:tcPr>
            <w:tcW w:w="2552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rPr>
                <w:szCs w:val="24"/>
              </w:rPr>
            </w:pPr>
            <w:r>
              <w:rPr>
                <w:szCs w:val="24"/>
              </w:rPr>
            </w:r>
          </w:p>
          <w:p>
            <w:pPr>
              <w:pStyle w:val="Normal"/>
              <w:tabs>
                <w:tab w:val="clear" w:pos="708"/>
              </w:tabs>
              <w:spacing w:lineRule="auto" w:line="240"/>
              <w:rPr>
                <w:rFonts w:ascii="Liberation Serif" w:hAnsi="Liberation Serif"/>
                <w:b w:val="false"/>
                <w:bCs w:val="false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Cs w:val="24"/>
              </w:rPr>
              <w:t>РЛНДз 10 кВ на опоре №1 ВЛ-10 кВ «ПКК ЯКУТИЯ»</w:t>
            </w:r>
          </w:p>
        </w:tc>
        <w:tc>
          <w:tcPr>
            <w:tcW w:w="2437" w:type="dxa"/>
            <w:vMerge w:val="continue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1" w:type="dxa"/>
            <w:vMerge w:val="restart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i/>
                <w:i/>
                <w:szCs w:val="24"/>
              </w:rPr>
            </w:pPr>
            <w:r>
              <w:rPr>
                <w:i/>
                <w:szCs w:val="24"/>
              </w:rPr>
            </w:r>
          </w:p>
        </w:tc>
        <w:tc>
          <w:tcPr>
            <w:tcW w:w="2887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BodyTextIndent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left="0" w:right="113" w:hanging="0"/>
              <w:contextualSpacing/>
              <w:jc w:val="both"/>
              <w:rPr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-ведомость ссылочных и прилагаемых документов;</w:t>
            </w:r>
          </w:p>
          <w:p>
            <w:pPr>
              <w:pStyle w:val="BodyTextIndent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left="0" w:right="113" w:hanging="0"/>
              <w:contextualSpacing/>
              <w:jc w:val="both"/>
              <w:rPr>
                <w:b w:val="false"/>
                <w:bCs w:val="false"/>
                <w:sz w:val="26"/>
                <w:szCs w:val="26"/>
              </w:rPr>
            </w:pPr>
            <w:r>
              <w:rPr>
                <w:b w:val="false"/>
                <w:bCs w:val="false"/>
                <w:sz w:val="26"/>
                <w:szCs w:val="26"/>
              </w:rPr>
              <w:t>-краткая пояснительная записка с описанием строительных и электротехнических        решений (климатические условия района, начальная точка трассы, конечная точка трассы, количество пересечений с инженерными сооружениями);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/>
              <w:t>- принципиальная схема электроснабжения;</w:t>
            </w:r>
          </w:p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left="0" w:right="340" w:hanging="0"/>
              <w:jc w:val="center"/>
              <w:rPr/>
            </w:pPr>
            <w:r>
              <w:rPr/>
              <w:t xml:space="preserve"> </w:t>
            </w:r>
            <w:r>
              <w:rPr/>
              <w:t>- план трассы ВЛ с расстановкой опор ВЛ на выкопировке с топографической карты в масштабе 1:500;</w:t>
            </w:r>
          </w:p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left="-57" w:right="567" w:hanging="0"/>
              <w:jc w:val="center"/>
              <w:rPr/>
            </w:pPr>
            <w:r>
              <w:rPr/>
              <w:t xml:space="preserve"> </w:t>
            </w:r>
            <w:r>
              <w:rPr/>
              <w:t xml:space="preserve">- поопорная схема ВЛ от последней опоры, действующей ВЛ, с указанием координат установленных опор; </w:t>
            </w:r>
          </w:p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left="-340" w:right="227" w:hanging="0"/>
              <w:jc w:val="center"/>
              <w:rPr/>
            </w:pPr>
            <w:r>
              <w:rPr/>
              <w:t>- ведомость опор;</w:t>
            </w:r>
          </w:p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left="-340" w:right="907" w:hanging="0"/>
              <w:jc w:val="center"/>
              <w:rPr/>
            </w:pPr>
            <w:r>
              <w:rPr/>
              <w:t xml:space="preserve"> </w:t>
            </w:r>
            <w:r>
              <w:rPr/>
              <w:t>- ведомость заземляющих устройств;</w:t>
            </w:r>
          </w:p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left="-113" w:right="113" w:hanging="0"/>
              <w:jc w:val="center"/>
              <w:rPr/>
            </w:pPr>
            <w:r>
              <w:rPr/>
              <w:t xml:space="preserve"> </w:t>
            </w:r>
            <w:r>
              <w:rPr/>
              <w:t xml:space="preserve">- ведомость и схемы пересечений; </w:t>
            </w:r>
          </w:p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left="-57" w:right="227" w:hanging="0"/>
              <w:jc w:val="center"/>
              <w:rPr/>
            </w:pPr>
            <w:r>
              <w:rPr/>
              <w:t xml:space="preserve">- ведомость стрел провесов проводов; </w:t>
            </w:r>
          </w:p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left="57" w:right="227" w:hanging="0"/>
              <w:jc w:val="center"/>
              <w:rPr/>
            </w:pPr>
            <w:r>
              <w:rPr/>
              <w:t>- профили мест пересечения ВЛ с линейными объектами и инженерными сооружениями с указанием габаритов от нижнего провода;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/>
              <w:t xml:space="preserve">    </w:t>
            </w:r>
            <w:r>
              <w:rPr/>
              <w:t xml:space="preserve">- схемы закрепления опор в грунте; </w:t>
            </w:r>
          </w:p>
          <w:p>
            <w:pPr>
              <w:pStyle w:val="Normal"/>
              <w:widowControl/>
              <w:tabs>
                <w:tab w:val="clear" w:pos="708"/>
              </w:tabs>
              <w:suppressAutoHyphens w:val="true"/>
              <w:bidi w:val="0"/>
              <w:spacing w:lineRule="auto" w:line="240" w:before="0" w:after="0"/>
              <w:ind w:left="-170" w:right="227" w:hanging="0"/>
              <w:jc w:val="center"/>
              <w:rPr/>
            </w:pPr>
            <w:r>
              <w:rPr/>
              <w:t xml:space="preserve">- габаритно конструктивно-строительные решения; 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/>
              <w:t xml:space="preserve"> </w:t>
            </w:r>
            <w:r>
              <w:rPr/>
              <w:t xml:space="preserve">- мероприятия по защите ВЛ от грозовых перенапряжений; 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/>
              <w:t>- схемы заземления элементов опор заземляющих устройств ВЛ, а также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/>
              <w:t xml:space="preserve">       </w:t>
            </w:r>
            <w:r>
              <w:rPr/>
              <w:t xml:space="preserve">заземляющих контуров РЛНД; 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/>
              <w:t xml:space="preserve">     </w:t>
            </w:r>
            <w:r>
              <w:rPr/>
              <w:t>- чертежи установки опор;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/>
              <w:t>- спецификации материалов, изделий, конструкций, оборудования;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/>
              <w:t xml:space="preserve"> </w:t>
            </w:r>
            <w:r>
              <w:rPr/>
              <w:t>- лист регистрации замечаний и изменений;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/>
              <w:t xml:space="preserve">  </w:t>
            </w:r>
            <w:r>
              <w:rPr/>
              <w:t>- сметная документация.</w:t>
            </w:r>
          </w:p>
        </w:tc>
      </w:tr>
      <w:tr>
        <w:trPr>
          <w:trHeight w:val="164" w:hRule="atLeast"/>
        </w:trPr>
        <w:tc>
          <w:tcPr>
            <w:tcW w:w="561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b/>
                <w:szCs w:val="24"/>
              </w:rPr>
            </w:pPr>
            <w:r>
              <w:rPr>
                <w:rFonts w:ascii="Liberation Serif" w:hAnsi="Liberation Serif"/>
                <w:b/>
                <w:szCs w:val="24"/>
              </w:rPr>
              <w:t>3</w:t>
            </w:r>
          </w:p>
        </w:tc>
        <w:tc>
          <w:tcPr>
            <w:tcW w:w="2552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tabs>
                <w:tab w:val="clear" w:pos="708"/>
              </w:tabs>
              <w:spacing w:lineRule="auto" w:line="240"/>
              <w:rPr>
                <w:rFonts w:ascii="Liberation Serif" w:hAnsi="Liberation Serif"/>
                <w:b w:val="false"/>
                <w:bCs w:val="false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Cs w:val="24"/>
              </w:rPr>
              <w:t>ВЛ-10 кВ «ПКК ЯКУТИЯ» от оп.№1 до оп.№18</w:t>
            </w:r>
          </w:p>
        </w:tc>
        <w:tc>
          <w:tcPr>
            <w:tcW w:w="2437" w:type="dxa"/>
            <w:vMerge w:val="continue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1" w:type="dxa"/>
            <w:vMerge w:val="continue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87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623" w:hRule="atLeast"/>
        </w:trPr>
        <w:tc>
          <w:tcPr>
            <w:tcW w:w="561" w:type="dxa"/>
            <w:tcBorders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szCs w:val="24"/>
              </w:rPr>
            </w:pPr>
            <w:r>
              <w:rPr>
                <w:rFonts w:ascii="Liberation Serif" w:hAnsi="Liberation Serif"/>
                <w:szCs w:val="24"/>
              </w:rPr>
              <w:t>4</w:t>
            </w:r>
          </w:p>
        </w:tc>
        <w:tc>
          <w:tcPr>
            <w:tcW w:w="2552" w:type="dxa"/>
            <w:tcBorders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/>
              <w:jc w:val="center"/>
              <w:rPr>
                <w:rFonts w:ascii="Liberation Serif" w:hAnsi="Liberation Serif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Cs w:val="24"/>
                <w:u w:val="none"/>
                <w:em w:val="none"/>
                <w:lang w:eastAsia="en-US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szCs w:val="24"/>
                <w:u w:val="none"/>
                <w:em w:val="none"/>
                <w:lang w:eastAsia="en-US"/>
              </w:rPr>
              <w:t>ПКУ ИСУЭ НРЭС (ТП до 450 кВт)</w:t>
            </w:r>
          </w:p>
        </w:tc>
        <w:tc>
          <w:tcPr>
            <w:tcW w:w="2437" w:type="dxa"/>
            <w:vMerge w:val="continue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1" w:type="dxa"/>
            <w:vMerge w:val="continue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87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spacing w:before="0" w:after="0"/>
        <w:rPr>
          <w:rFonts w:ascii="Liberation Serif" w:hAnsi="Liberation Serif"/>
          <w:szCs w:val="24"/>
        </w:rPr>
      </w:pPr>
      <w:r>
        <w:rPr>
          <w:rFonts w:ascii="Liberation Serif" w:hAnsi="Liberation Serif"/>
          <w:szCs w:val="24"/>
        </w:rPr>
      </w:r>
    </w:p>
    <w:p>
      <w:pPr>
        <w:pStyle w:val="ListParagraph"/>
        <w:widowControl/>
        <w:tabs>
          <w:tab w:val="clear" w:pos="288"/>
          <w:tab w:val="left" w:pos="0" w:leader="none"/>
        </w:tabs>
        <w:suppressAutoHyphens w:val="true"/>
        <w:bidi w:val="0"/>
        <w:spacing w:before="0" w:after="0"/>
        <w:ind w:left="0" w:right="0" w:hanging="737"/>
        <w:contextualSpacing/>
        <w:jc w:val="both"/>
        <w:rPr>
          <w:b w:val="false"/>
          <w:bCs w:val="false"/>
          <w:sz w:val="26"/>
          <w:szCs w:val="26"/>
        </w:rPr>
      </w:pPr>
      <w:r>
        <w:rPr>
          <w:b w:val="false"/>
          <w:bCs w:val="false"/>
          <w:color w:val="000000"/>
          <w:spacing w:val="-4"/>
          <w:sz w:val="26"/>
          <w:szCs w:val="26"/>
        </w:rPr>
        <w:t xml:space="preserve">              </w:t>
      </w:r>
      <w:r>
        <w:rPr>
          <w:b w:val="false"/>
          <w:bCs w:val="false"/>
          <w:color w:val="000000"/>
          <w:spacing w:val="-4"/>
          <w:sz w:val="26"/>
          <w:szCs w:val="26"/>
        </w:rPr>
        <w:t xml:space="preserve">Рабочую </w:t>
      </w:r>
      <w:r>
        <w:rPr>
          <w:b w:val="false"/>
          <w:bCs w:val="false"/>
          <w:color w:val="000000"/>
          <w:spacing w:val="-4"/>
          <w:sz w:val="26"/>
          <w:szCs w:val="26"/>
        </w:rPr>
        <w:t xml:space="preserve">и сметную </w:t>
      </w:r>
      <w:r>
        <w:rPr>
          <w:b w:val="false"/>
          <w:bCs w:val="false"/>
          <w:color w:val="000000"/>
          <w:spacing w:val="-4"/>
          <w:sz w:val="26"/>
          <w:szCs w:val="26"/>
        </w:rPr>
        <w:t>документацию необходимо согласовать с начальником сетевого района, службой технологического присоединения, службой технической эксплуатации, а также отделом капитального строительства и инвестиций филиала «ЮЯЭС» до начала производства работ;</w:t>
      </w:r>
    </w:p>
    <w:p>
      <w:pPr>
        <w:pStyle w:val="ListParagraph"/>
        <w:widowControl/>
        <w:tabs>
          <w:tab w:val="clear" w:pos="288"/>
          <w:tab w:val="left" w:pos="0" w:leader="none"/>
        </w:tabs>
        <w:suppressAutoHyphens w:val="true"/>
        <w:bidi w:val="0"/>
        <w:spacing w:before="0" w:after="0"/>
        <w:ind w:left="0" w:right="0" w:hanging="737"/>
        <w:contextualSpacing/>
        <w:jc w:val="both"/>
        <w:rPr>
          <w:b w:val="false"/>
          <w:bCs w:val="false"/>
          <w:sz w:val="26"/>
          <w:szCs w:val="26"/>
        </w:rPr>
      </w:pPr>
      <w:r>
        <w:rPr>
          <w:b w:val="false"/>
          <w:bCs w:val="false"/>
          <w:color w:val="000000"/>
          <w:spacing w:val="-4"/>
          <w:sz w:val="26"/>
          <w:szCs w:val="26"/>
        </w:rPr>
        <w:t xml:space="preserve">                       </w:t>
      </w:r>
      <w:r>
        <w:rPr>
          <w:b w:val="false"/>
          <w:bCs w:val="false"/>
          <w:color w:val="000000"/>
          <w:spacing w:val="-4"/>
          <w:sz w:val="26"/>
          <w:szCs w:val="26"/>
        </w:rPr>
        <w:t>Разработанн</w:t>
      </w:r>
      <w:r>
        <w:rPr>
          <w:b w:val="false"/>
          <w:bCs w:val="false"/>
          <w:color w:val="000000"/>
          <w:spacing w:val="-4"/>
          <w:sz w:val="26"/>
          <w:szCs w:val="26"/>
        </w:rPr>
        <w:t>ую</w:t>
      </w:r>
      <w:r>
        <w:rPr>
          <w:b w:val="false"/>
          <w:bCs w:val="false"/>
          <w:color w:val="000000"/>
          <w:spacing w:val="-4"/>
          <w:sz w:val="26"/>
          <w:szCs w:val="26"/>
        </w:rPr>
        <w:t xml:space="preserve"> документацию передать по акту приемки-передачи на утверждение в филиал АО «ДРСК» «ЮЯЭС» (в бумажном виде и на электронном носителе, формат .pdf, .dwg).</w:t>
      </w:r>
    </w:p>
    <w:p>
      <w:pPr>
        <w:pStyle w:val="Normal"/>
        <w:spacing w:before="0" w:after="0"/>
        <w:rPr>
          <w:rStyle w:val="Fontstyle01"/>
        </w:rPr>
      </w:pPr>
      <w:r>
        <w:rPr/>
      </w:r>
    </w:p>
    <w:p>
      <w:pPr>
        <w:pStyle w:val="Heading3"/>
        <w:numPr>
          <w:ilvl w:val="0"/>
          <w:numId w:val="0"/>
        </w:numPr>
        <w:ind w:left="1080" w:hanging="0"/>
        <w:rPr/>
      </w:pPr>
      <w:r>
        <w:rPr>
          <w:rStyle w:val="Fontstyle01"/>
          <w:rFonts w:cs="Times New Roman" w:ascii="Liberation Serif" w:hAnsi="Liberation Serif"/>
          <w:b/>
          <w:bCs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>1.4.5</w:t>
      </w:r>
      <w:r>
        <w:rPr>
          <w:rStyle w:val="Fontstyle01"/>
          <w:rFonts w:cs="Times New Roman" w:ascii="Liberation Serif" w:hAnsi="Liberation Serif"/>
          <w:b w:val="false"/>
          <w:b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 xml:space="preserve"> </w:t>
      </w:r>
      <w:r>
        <w:rPr>
          <w:rStyle w:val="Fontstyle01"/>
          <w:rFonts w:cs="Times New Roman" w:ascii="Liberation Serif" w:hAnsi="Liberation Serif"/>
          <w:b w:val="false"/>
          <w:b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 xml:space="preserve">Выполнение </w:t>
      </w:r>
      <w:r>
        <w:rPr>
          <w:rStyle w:val="Fontstyle01"/>
          <w:rFonts w:cs="Times New Roman" w:ascii="Liberation Serif" w:hAnsi="Liberation Serif"/>
          <w:b w:val="false"/>
          <w:b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>строительных, электромонтажных и пусконаладочных работ</w:t>
      </w:r>
      <w:r>
        <w:rPr>
          <w:rStyle w:val="Fontstyle01"/>
          <w:rFonts w:cs="Times New Roman" w:ascii="Liberation Serif" w:hAnsi="Liberation Serif"/>
          <w:b w:val="false"/>
          <w:b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 xml:space="preserve"> </w:t>
      </w:r>
      <w:r>
        <w:rPr>
          <w:rStyle w:val="Fontstyle01"/>
          <w:rFonts w:cs="Times New Roman" w:ascii="Liberation Serif" w:hAnsi="Liberation Serif"/>
          <w:b w:val="false"/>
          <w:bCs w:val="false"/>
          <w:strike w:val="false"/>
          <w:dstrike w:val="false"/>
          <w:outline w:val="false"/>
          <w:shadow w:val="false"/>
          <w:sz w:val="24"/>
          <w:szCs w:val="24"/>
          <w:u w:val="none"/>
          <w:shd w:fill="auto" w:val="clear"/>
          <w:em w:val="none"/>
        </w:rPr>
        <w:t xml:space="preserve"> объектов, указанных в Таблице 1, в целях исполнения обязательств сетевой организации по технологическому присоединения заявителя к электрическим сетям.</w:t>
      </w:r>
    </w:p>
    <w:p>
      <w:pPr>
        <w:pStyle w:val="Normal"/>
        <w:jc w:val="right"/>
        <w:rPr>
          <w:rFonts w:ascii="Liberation Serif" w:hAnsi="Liberation Serif"/>
          <w:b/>
          <w:sz w:val="24"/>
          <w:szCs w:val="24"/>
        </w:rPr>
      </w:pPr>
      <w:bookmarkStart w:id="5" w:name="_Toc54646398"/>
      <w:bookmarkEnd w:id="5"/>
      <w:r>
        <w:rPr>
          <w:rFonts w:ascii="Liberation Serif" w:hAnsi="Liberation Serif"/>
          <w:b/>
          <w:sz w:val="24"/>
          <w:szCs w:val="24"/>
        </w:rPr>
        <w:t>Таблица 1. Перечень объектов заказчика</w:t>
      </w:r>
    </w:p>
    <w:tbl>
      <w:tblPr>
        <w:tblW w:w="9938" w:type="dxa"/>
        <w:jc w:val="left"/>
        <w:tblInd w:w="-5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</w:tblPr>
      <w:tblGrid>
        <w:gridCol w:w="571"/>
        <w:gridCol w:w="2558"/>
        <w:gridCol w:w="2442"/>
        <w:gridCol w:w="1472"/>
        <w:gridCol w:w="2895"/>
      </w:tblGrid>
      <w:tr>
        <w:trPr>
          <w:trHeight w:val="1105" w:hRule="atLeast"/>
        </w:trPr>
        <w:tc>
          <w:tcPr>
            <w:tcW w:w="5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№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п/п</w:t>
            </w:r>
          </w:p>
        </w:tc>
        <w:tc>
          <w:tcPr>
            <w:tcW w:w="2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Наименование объекта</w:t>
            </w:r>
          </w:p>
        </w:tc>
        <w:tc>
          <w:tcPr>
            <w:tcW w:w="24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Расположение объекта </w:t>
            </w:r>
            <w:r>
              <w:rPr>
                <w:rFonts w:ascii="Liberation Serif" w:hAnsi="Liberation Serif"/>
                <w:i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14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Наименование основного средства </w:t>
              <w:br/>
            </w: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(в отношении которого выполняются работы)</w:t>
            </w:r>
          </w:p>
        </w:tc>
        <w:tc>
          <w:tcPr>
            <w:tcW w:w="28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Примечания</w:t>
            </w:r>
          </w:p>
        </w:tc>
      </w:tr>
      <w:tr>
        <w:trPr>
          <w:trHeight w:val="164" w:hRule="atLeast"/>
        </w:trPr>
        <w:tc>
          <w:tcPr>
            <w:tcW w:w="571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</w:t>
            </w:r>
          </w:p>
        </w:tc>
        <w:tc>
          <w:tcPr>
            <w:tcW w:w="2558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</w:t>
            </w:r>
          </w:p>
        </w:tc>
        <w:tc>
          <w:tcPr>
            <w:tcW w:w="2442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  <w:tc>
          <w:tcPr>
            <w:tcW w:w="1472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</w:t>
            </w:r>
          </w:p>
        </w:tc>
        <w:tc>
          <w:tcPr>
            <w:tcW w:w="28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>
        <w:trPr>
          <w:trHeight w:val="164" w:hRule="atLeast"/>
        </w:trPr>
        <w:tc>
          <w:tcPr>
            <w:tcW w:w="571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</w:t>
            </w:r>
          </w:p>
        </w:tc>
        <w:tc>
          <w:tcPr>
            <w:tcW w:w="2558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Компенсация стоимости и проведение компенсационного озеленения на территории городского поселения поселка Беркакит</w:t>
            </w:r>
          </w:p>
        </w:tc>
        <w:tc>
          <w:tcPr>
            <w:tcW w:w="2442" w:type="dxa"/>
            <w:vMerge w:val="restart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Саха (Якутия) Республика,  Нерюнгринский район, пгт.Беркакит, ул.Южная, дом №1, кадастровый номер земельного участка 14:19:210003:257.</w:t>
            </w:r>
          </w:p>
        </w:tc>
        <w:tc>
          <w:tcPr>
            <w:tcW w:w="1472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28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основании справки-расчета компенсационной стоимости, оплатить сумму компенсации по реквизитам указанным в справке;</w:t>
            </w:r>
          </w:p>
          <w:p>
            <w:pPr>
              <w:pStyle w:val="Normal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 результатам поступления компенсации Администрацией городского поселения будет направлено разрешение на право вырубки зеленых насаждений. </w:t>
            </w:r>
          </w:p>
        </w:tc>
      </w:tr>
      <w:tr>
        <w:trPr>
          <w:trHeight w:val="164" w:hRule="atLeast"/>
        </w:trPr>
        <w:tc>
          <w:tcPr>
            <w:tcW w:w="571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</w:t>
            </w:r>
          </w:p>
        </w:tc>
        <w:tc>
          <w:tcPr>
            <w:tcW w:w="2558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КЛ-10 кВ «ПКК-ЯКУТИЯ» от отходящих контактов яч. №2а «ПКК-ЯКУТИЯ» ЗРУ-10 кВ ПС 110 кВ Беркакит до оп.№1 ВЛ-10 кВ «ПКК-ЯКУТИЯ»</w:t>
            </w:r>
          </w:p>
        </w:tc>
        <w:tc>
          <w:tcPr>
            <w:tcW w:w="2442" w:type="dxa"/>
            <w:vMerge w:val="continue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72" w:type="dxa"/>
            <w:vMerge w:val="restart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suppressAutoHyphens w:val="tru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  <w:tc>
          <w:tcPr>
            <w:tcW w:w="28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Монтаж кабеля АВБбШв 3x70 мм </w:t>
            </w:r>
            <w:r>
              <w:rPr>
                <w:sz w:val="24"/>
                <w:szCs w:val="24"/>
                <w:vertAlign w:val="superscript"/>
              </w:rPr>
              <w:t xml:space="preserve">2  </w:t>
            </w:r>
            <w:r>
              <w:rPr>
                <w:position w:val="0"/>
                <w:sz w:val="24"/>
                <w:sz w:val="24"/>
                <w:szCs w:val="24"/>
                <w:vertAlign w:val="baseline"/>
              </w:rPr>
              <w:t xml:space="preserve">(муфты применить  3 ПКНТпбЛ 6 (70-120) М либо аналог) в обслуживаемом бетонном кабельном лотке, от отходящих контактов яч. №2а «ПКК-ЯКУТИЯ» с присоединением к контакта РЛ-1 на опоре №1 ВЛ-10 кВ «ПКК-ЯКУТИЯ» </w:t>
            </w:r>
          </w:p>
          <w:p>
            <w:pPr>
              <w:pStyle w:val="Normal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64" w:hRule="atLeast"/>
        </w:trPr>
        <w:tc>
          <w:tcPr>
            <w:tcW w:w="571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  <w:tc>
          <w:tcPr>
            <w:tcW w:w="2558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РЛНДз 10 кВ на опоре №1 ВЛ-10 кВ «ПКК ЯКУТИЯ»</w:t>
            </w:r>
          </w:p>
        </w:tc>
        <w:tc>
          <w:tcPr>
            <w:tcW w:w="2442" w:type="dxa"/>
            <w:vMerge w:val="continue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72" w:type="dxa"/>
            <w:vMerge w:val="continue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Установка РЛНДз-10II/400 на опоре №1 ВЛ-10 кВ «ПКК-ЯКУТИЯ», монтаж ОПН-10 кВ на опоре №1 для защиты кабельной вставки от перенапряжений, монтаж контура заземления РЛНДз</w:t>
            </w:r>
          </w:p>
        </w:tc>
      </w:tr>
      <w:tr>
        <w:trPr>
          <w:trHeight w:val="164" w:hRule="atLeast"/>
        </w:trPr>
        <w:tc>
          <w:tcPr>
            <w:tcW w:w="571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</w:t>
            </w:r>
          </w:p>
        </w:tc>
        <w:tc>
          <w:tcPr>
            <w:tcW w:w="2558" w:type="dxa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jc w:val="left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ВЛ-10 кВ «ПКК ЯКУТИЯ» от оп.№1 до оп.№18</w:t>
            </w:r>
          </w:p>
        </w:tc>
        <w:tc>
          <w:tcPr>
            <w:tcW w:w="2442" w:type="dxa"/>
            <w:vMerge w:val="continue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72" w:type="dxa"/>
            <w:vMerge w:val="continue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ind w:left="-101" w:right="0" w:firstLine="10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железобетонных опор на стойках СВ-110-5, монтаж СИП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3 сечением </w:t>
            </w:r>
            <w:r>
              <w:rPr>
                <w:sz w:val="22"/>
                <w:szCs w:val="22"/>
              </w:rPr>
              <w:t>70</w:t>
            </w:r>
            <w:r>
              <w:rPr>
                <w:sz w:val="22"/>
                <w:szCs w:val="22"/>
              </w:rPr>
              <w:t xml:space="preserve"> мм² с использованием полимерных изоляторов, </w:t>
            </w:r>
            <w:r>
              <w:rPr>
                <w:sz w:val="22"/>
                <w:szCs w:val="22"/>
              </w:rPr>
              <w:t xml:space="preserve">предусмотреть пересечение   </w:t>
            </w:r>
            <w:r>
              <w:rPr>
                <w:sz w:val="22"/>
                <w:szCs w:val="22"/>
              </w:rPr>
              <w:t>с ВЛ-10 кВ (Якутскэнерго), трубопроводом теплосетей п.Беркакит, автодорогой п.Беркакит</w:t>
            </w:r>
            <w:r>
              <w:rPr>
                <w:sz w:val="22"/>
                <w:szCs w:val="22"/>
              </w:rPr>
              <w:t xml:space="preserve"> , </w:t>
            </w:r>
            <w:r>
              <w:rPr>
                <w:sz w:val="22"/>
                <w:szCs w:val="22"/>
              </w:rPr>
              <w:t xml:space="preserve">монтаж </w:t>
            </w:r>
            <w:r>
              <w:rPr>
                <w:sz w:val="22"/>
                <w:szCs w:val="22"/>
              </w:rPr>
              <w:t>РДИП-</w:t>
            </w:r>
            <w:r>
              <w:rPr>
                <w:sz w:val="22"/>
                <w:szCs w:val="22"/>
              </w:rPr>
              <w:t>10-IV-УХЛ (либо аналагов)</w:t>
            </w:r>
            <w:r>
              <w:rPr>
                <w:sz w:val="22"/>
                <w:szCs w:val="22"/>
              </w:rPr>
              <w:t xml:space="preserve"> на опор</w:t>
            </w:r>
            <w:r>
              <w:rPr>
                <w:sz w:val="22"/>
                <w:szCs w:val="22"/>
              </w:rPr>
              <w:t>ах по всей длине ВЛ-10 кВ</w:t>
            </w:r>
            <w:r>
              <w:rPr>
                <w:sz w:val="22"/>
                <w:szCs w:val="22"/>
              </w:rPr>
              <w:t xml:space="preserve">, выполнение контура заземления РДИП и металлических частей, </w:t>
            </w:r>
            <w:r>
              <w:rPr>
                <w:sz w:val="22"/>
                <w:szCs w:val="22"/>
              </w:rPr>
              <w:t>вырубка охранной зоны ВЛ-</w:t>
            </w:r>
            <w:r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кВ.</w:t>
            </w:r>
          </w:p>
          <w:p>
            <w:pPr>
              <w:pStyle w:val="Normal"/>
              <w:ind w:left="-101" w:right="0" w:firstLine="10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провода, ориентировочная длина трассы </w:t>
            </w:r>
            <w:r>
              <w:rPr>
                <w:sz w:val="22"/>
                <w:szCs w:val="22"/>
              </w:rPr>
              <w:t>780</w:t>
            </w:r>
            <w:r>
              <w:rPr>
                <w:sz w:val="22"/>
                <w:szCs w:val="22"/>
              </w:rPr>
              <w:t xml:space="preserve"> метров. </w:t>
            </w:r>
            <w:r>
              <w:rPr>
                <w:sz w:val="22"/>
                <w:szCs w:val="22"/>
              </w:rPr>
              <w:t>(кол-во опор, длину трассы ВЛ  определить проектом).</w:t>
            </w:r>
          </w:p>
        </w:tc>
      </w:tr>
      <w:tr>
        <w:trPr>
          <w:trHeight w:val="2623" w:hRule="atLeast"/>
        </w:trPr>
        <w:tc>
          <w:tcPr>
            <w:tcW w:w="571" w:type="dxa"/>
            <w:tcBorders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558" w:type="dxa"/>
            <w:tcBorders>
              <w:left w:val="single" w:sz="4" w:space="0" w:color="000001"/>
              <w:bottom w:val="single" w:sz="4" w:space="0" w:color="000001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  <w:lang w:eastAsia="en-US"/>
              </w:rPr>
            </w:pPr>
            <w:r>
              <w:rPr>
                <w:rFonts w:ascii="Liberation Serif" w:hAnsi="Liberation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  <w:lang w:eastAsia="en-US"/>
              </w:rPr>
              <w:t>ПКУ ИСУЭ НРЭС (ТП до 450 кВт)</w:t>
            </w:r>
          </w:p>
        </w:tc>
        <w:tc>
          <w:tcPr>
            <w:tcW w:w="2442" w:type="dxa"/>
            <w:vMerge w:val="continue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72" w:type="dxa"/>
            <w:vMerge w:val="continue"/>
            <w:tcBorders>
              <w:left w:val="single" w:sz="4" w:space="0" w:color="000001"/>
              <w:bottom w:val="single" w:sz="4" w:space="0" w:color="000001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8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Установка трехфазного прибора учёта </w:t>
            </w:r>
          </w:p>
        </w:tc>
      </w:tr>
    </w:tbl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/>
        <w:numPr>
          <w:ilvl w:val="1"/>
          <w:numId w:val="5"/>
        </w:numPr>
        <w:tabs>
          <w:tab w:val="clear" w:pos="708"/>
          <w:tab w:val="left" w:pos="288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договора):</w:t>
      </w:r>
    </w:p>
    <w:p>
      <w:pPr>
        <w:pStyle w:val="ListParagraph"/>
        <w:numPr>
          <w:ilvl w:val="2"/>
          <w:numId w:val="5"/>
        </w:numPr>
        <w:ind w:left="0" w:right="0" w:hanging="0"/>
        <w:jc w:val="both"/>
        <w:rPr/>
      </w:pPr>
      <w:r>
        <w:rPr>
          <w:rStyle w:val="Fontstyle01"/>
          <w:rFonts w:cs="Times New Roman" w:ascii="Liberation Serif" w:hAnsi="Liberation Serif"/>
          <w:b w:val="false"/>
          <w:bCs w:val="false"/>
          <w:sz w:val="24"/>
          <w:szCs w:val="24"/>
        </w:rPr>
        <w:t>Заказчиком, на стадии проведения закупки прилага</w:t>
      </w:r>
      <w:r>
        <w:rPr>
          <w:rStyle w:val="Fontstyle01"/>
          <w:rFonts w:cs="Times New Roman" w:ascii="Liberation Serif" w:hAnsi="Liberation Serif"/>
          <w:b w:val="false"/>
          <w:bCs w:val="false"/>
          <w:sz w:val="24"/>
          <w:szCs w:val="24"/>
        </w:rPr>
        <w:t>ется</w:t>
      </w:r>
      <w:r>
        <w:rPr>
          <w:rStyle w:val="Fontstyle01"/>
          <w:rFonts w:cs="Times New Roman" w:ascii="Liberation Serif" w:hAnsi="Liberation Serif"/>
          <w:b w:val="false"/>
          <w:bCs w:val="false"/>
          <w:sz w:val="24"/>
          <w:szCs w:val="24"/>
        </w:rPr>
        <w:t xml:space="preserve"> </w:t>
      </w:r>
      <w:r>
        <w:rPr>
          <w:rStyle w:val="Fontstyle01"/>
          <w:rFonts w:cs="Times New Roman" w:ascii="Liberation Serif" w:hAnsi="Liberation Serif"/>
          <w:sz w:val="24"/>
          <w:szCs w:val="24"/>
        </w:rPr>
        <w:t>Акт обследования №ТПр 57/26 от 24.03.2026 г,</w:t>
      </w:r>
      <w:r>
        <w:rPr>
          <w:rStyle w:val="Fontstyle01"/>
          <w:rFonts w:cs="Times New Roman" w:ascii="Liberation Serif" w:hAnsi="Liberation Serif"/>
          <w:sz w:val="24"/>
          <w:szCs w:val="24"/>
        </w:rPr>
        <w:t>, подготовленн</w:t>
      </w:r>
      <w:r>
        <w:rPr>
          <w:rStyle w:val="Fontstyle01"/>
          <w:rFonts w:cs="Times New Roman" w:ascii="Liberation Serif" w:hAnsi="Liberation Serif"/>
          <w:sz w:val="24"/>
          <w:szCs w:val="24"/>
        </w:rPr>
        <w:t>ый</w:t>
      </w:r>
      <w:r>
        <w:rPr>
          <w:rStyle w:val="Fontstyle01"/>
          <w:rFonts w:cs="Times New Roman" w:ascii="Liberation Serif" w:hAnsi="Liberation Serif"/>
          <w:sz w:val="24"/>
          <w:szCs w:val="24"/>
        </w:rPr>
        <w:t xml:space="preserve"> филиалом АО «ДРСК» «ЮЯЭС» </w:t>
      </w:r>
      <w:r>
        <w:rPr>
          <w:rStyle w:val="Fontstyle01"/>
          <w:rFonts w:cs="Times New Roman" w:ascii="Liberation Serif" w:hAnsi="Liberation Serif"/>
          <w:sz w:val="24"/>
          <w:szCs w:val="24"/>
        </w:rPr>
        <w:t>(</w:t>
      </w:r>
      <w:r>
        <w:rPr>
          <w:rStyle w:val="Fontstyle01"/>
          <w:rFonts w:cs="Times New Roman" w:ascii="Liberation Serif" w:hAnsi="Liberation Serif"/>
          <w:i/>
          <w:iCs/>
          <w:sz w:val="24"/>
          <w:szCs w:val="24"/>
        </w:rPr>
        <w:t xml:space="preserve">Приложение 1 к </w:t>
      </w:r>
      <w:r>
        <w:rPr>
          <w:rStyle w:val="Fontstyle01"/>
          <w:rFonts w:cs="Times New Roman" w:ascii="Liberation Serif" w:hAnsi="Liberation Serif"/>
          <w:i/>
          <w:iCs/>
          <w:sz w:val="24"/>
          <w:szCs w:val="24"/>
        </w:rPr>
        <w:t>Т</w:t>
      </w:r>
      <w:r>
        <w:rPr>
          <w:rStyle w:val="Fontstyle01"/>
          <w:rFonts w:cs="Times New Roman" w:ascii="Liberation Serif" w:hAnsi="Liberation Serif"/>
          <w:i/>
          <w:iCs/>
          <w:sz w:val="24"/>
          <w:szCs w:val="24"/>
        </w:rPr>
        <w:t>Т</w:t>
      </w:r>
      <w:r>
        <w:rPr>
          <w:rStyle w:val="Fontstyle01"/>
          <w:rFonts w:cs="Times New Roman" w:ascii="Liberation Serif" w:hAnsi="Liberation Serif"/>
          <w:i/>
          <w:iCs/>
          <w:sz w:val="24"/>
          <w:szCs w:val="24"/>
        </w:rPr>
        <w:t>).</w:t>
      </w:r>
    </w:p>
    <w:p>
      <w:pPr>
        <w:pStyle w:val="ListParagraph"/>
        <w:ind w:left="0" w:right="0" w:hanging="0"/>
        <w:jc w:val="both"/>
        <w:rPr>
          <w:rStyle w:val="Fontstyle01"/>
        </w:rPr>
      </w:pPr>
      <w:r>
        <w:rPr/>
      </w:r>
    </w:p>
    <w:p>
      <w:pPr>
        <w:pStyle w:val="Normal"/>
        <w:widowControl/>
        <w:numPr>
          <w:ilvl w:val="0"/>
          <w:numId w:val="5"/>
        </w:numPr>
        <w:tabs>
          <w:tab w:val="clear" w:pos="708"/>
          <w:tab w:val="left" w:pos="312" w:leader="none"/>
        </w:tabs>
        <w:suppressAutoHyphens w:val="true"/>
        <w:bidi w:val="0"/>
        <w:spacing w:lineRule="auto" w:line="240" w:before="0" w:after="0"/>
        <w:ind w:left="0" w:right="0" w:hanging="0"/>
        <w:jc w:val="center"/>
        <w:rPr>
          <w:rFonts w:ascii="Liberation Serif" w:hAnsi="Liberation Serif"/>
          <w:b/>
          <w:bCs/>
          <w:sz w:val="24"/>
          <w:szCs w:val="24"/>
        </w:rPr>
      </w:pPr>
      <w:bookmarkStart w:id="6" w:name="_Toc51339693"/>
      <w:bookmarkStart w:id="7" w:name="_Toc54646403"/>
      <w:bookmarkStart w:id="8" w:name="_Toc54646400"/>
      <w:bookmarkEnd w:id="8"/>
      <w:r>
        <w:rPr>
          <w:rFonts w:ascii="Liberation Serif" w:hAnsi="Liberation Serif"/>
          <w:b/>
          <w:bCs/>
          <w:sz w:val="24"/>
          <w:szCs w:val="24"/>
        </w:rPr>
        <w:t>Требования к продукции</w:t>
      </w:r>
      <w:bookmarkEnd w:id="6"/>
      <w:bookmarkEnd w:id="7"/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/>
        <w:numPr>
          <w:ilvl w:val="1"/>
          <w:numId w:val="5"/>
        </w:numPr>
        <w:tabs>
          <w:tab w:val="clear" w:pos="708"/>
          <w:tab w:val="left" w:pos="288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Liberation Serif" w:hAnsi="Liberation Serif"/>
          <w:b/>
          <w:bCs/>
          <w:sz w:val="24"/>
          <w:szCs w:val="24"/>
        </w:rPr>
      </w:pPr>
      <w:bookmarkStart w:id="9" w:name="_Toc54646404"/>
      <w:r>
        <w:rPr>
          <w:rFonts w:ascii="Liberation Serif" w:hAnsi="Liberation Serif"/>
          <w:b/>
          <w:bCs/>
          <w:sz w:val="24"/>
          <w:szCs w:val="24"/>
        </w:rPr>
        <w:t>Требования к объемам и срокам выполнения работ</w:t>
      </w:r>
      <w:bookmarkEnd w:id="9"/>
    </w:p>
    <w:p>
      <w:pPr>
        <w:pStyle w:val="Normal"/>
        <w:widowControl/>
        <w:numPr>
          <w:ilvl w:val="2"/>
          <w:numId w:val="5"/>
        </w:numPr>
        <w:tabs>
          <w:tab w:val="clear" w:pos="708"/>
          <w:tab w:val="left" w:pos="288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Liberation Serif" w:hAnsi="Liberation Serif"/>
          <w:b/>
          <w:bCs/>
          <w:sz w:val="24"/>
          <w:szCs w:val="24"/>
        </w:rPr>
      </w:pPr>
      <w:bookmarkStart w:id="10" w:name="_Toc54646405"/>
      <w:r>
        <w:rPr>
          <w:rFonts w:ascii="Liberation Serif" w:hAnsi="Liberation Serif"/>
          <w:b/>
          <w:bCs/>
          <w:sz w:val="24"/>
          <w:szCs w:val="24"/>
        </w:rPr>
        <w:t>Требования к видам и объемам работ</w:t>
      </w:r>
      <w:bookmarkEnd w:id="10"/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288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bookmarkStart w:id="11" w:name="_Toc54646406"/>
      <w:bookmarkStart w:id="12" w:name="_Toc51339695"/>
      <w:r>
        <w:rPr>
          <w:rFonts w:ascii="Liberation Serif" w:hAnsi="Liberation Serif"/>
          <w:b/>
          <w:sz w:val="24"/>
          <w:szCs w:val="24"/>
        </w:rPr>
        <w:t xml:space="preserve">Таблица 2. Перечень </w:t>
      </w:r>
      <w:bookmarkEnd w:id="12"/>
      <w:r>
        <w:rPr>
          <w:rFonts w:ascii="Liberation Serif" w:hAnsi="Liberation Serif"/>
          <w:b/>
          <w:sz w:val="24"/>
          <w:szCs w:val="24"/>
        </w:rPr>
        <w:t>и объем выполняемых работ</w:t>
      </w:r>
      <w:bookmarkEnd w:id="11"/>
    </w:p>
    <w:tbl>
      <w:tblPr>
        <w:tblW w:w="1006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4457"/>
        <w:gridCol w:w="2207"/>
        <w:gridCol w:w="2801"/>
      </w:tblGrid>
      <w:tr>
        <w:trPr>
          <w:trHeight w:val="60" w:hRule="atLeast"/>
        </w:trPr>
        <w:tc>
          <w:tcPr>
            <w:tcW w:w="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п/п</w:t>
            </w:r>
          </w:p>
        </w:tc>
        <w:tc>
          <w:tcPr>
            <w:tcW w:w="44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Единица измерения</w:t>
            </w:r>
          </w:p>
        </w:tc>
        <w:tc>
          <w:tcPr>
            <w:tcW w:w="2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</w:t>
            </w:r>
          </w:p>
        </w:tc>
      </w:tr>
      <w:tr>
        <w:trPr>
          <w:trHeight w:val="60" w:hRule="atLeast"/>
        </w:trPr>
        <w:tc>
          <w:tcPr>
            <w:tcW w:w="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</w:t>
            </w:r>
          </w:p>
        </w:tc>
        <w:tc>
          <w:tcPr>
            <w:tcW w:w="44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</w:t>
            </w:r>
          </w:p>
        </w:tc>
        <w:tc>
          <w:tcPr>
            <w:tcW w:w="2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  <w:tc>
          <w:tcPr>
            <w:tcW w:w="2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</w:t>
            </w:r>
          </w:p>
        </w:tc>
      </w:tr>
      <w:tr>
        <w:trPr>
          <w:trHeight w:val="60" w:hRule="atLeast"/>
        </w:trPr>
        <w:tc>
          <w:tcPr>
            <w:tcW w:w="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</w:t>
            </w:r>
          </w:p>
        </w:tc>
        <w:tc>
          <w:tcPr>
            <w:tcW w:w="946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Выполнение строительно-монтажных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и пусконаладочных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 работ 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</w:r>
          </w:p>
        </w:tc>
      </w:tr>
      <w:tr>
        <w:trPr>
          <w:trHeight w:val="1364" w:hRule="atLeast"/>
        </w:trPr>
        <w:tc>
          <w:tcPr>
            <w:tcW w:w="5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</w:t>
            </w:r>
          </w:p>
        </w:tc>
        <w:tc>
          <w:tcPr>
            <w:tcW w:w="44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инженерно-геодезических изысканий. </w:t>
            </w:r>
            <w:r>
              <w:rPr>
                <w:sz w:val="24"/>
                <w:szCs w:val="24"/>
              </w:rPr>
              <w:t>Разработка и согласование Р</w:t>
            </w:r>
            <w:r>
              <w:rPr>
                <w:sz w:val="24"/>
                <w:szCs w:val="24"/>
              </w:rPr>
              <w:t>абочей и сметной документации</w:t>
            </w:r>
            <w:r>
              <w:rPr>
                <w:sz w:val="24"/>
                <w:szCs w:val="24"/>
              </w:rPr>
              <w:t xml:space="preserve"> для выполнения строительно-монтажных работ. </w:t>
            </w:r>
          </w:p>
        </w:tc>
        <w:tc>
          <w:tcPr>
            <w:tcW w:w="22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Усл.ед.</w:t>
            </w:r>
          </w:p>
        </w:tc>
        <w:tc>
          <w:tcPr>
            <w:tcW w:w="2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</w:tr>
      <w:tr>
        <w:trPr>
          <w:trHeight w:val="879" w:hRule="atLeast"/>
        </w:trPr>
        <w:tc>
          <w:tcPr>
            <w:tcW w:w="595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1.2</w:t>
            </w:r>
          </w:p>
        </w:tc>
        <w:tc>
          <w:tcPr>
            <w:tcW w:w="445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СМР  в соответствии с согласованной Заказчиком РД.</w:t>
            </w:r>
          </w:p>
        </w:tc>
        <w:tc>
          <w:tcPr>
            <w:tcW w:w="220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</w:t>
            </w:r>
          </w:p>
        </w:tc>
        <w:tc>
          <w:tcPr>
            <w:tcW w:w="280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</w:tr>
    </w:tbl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/>
        <w:numPr>
          <w:ilvl w:val="2"/>
          <w:numId w:val="5"/>
        </w:numPr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Требования к срокам выполнения работ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Таблица 3. </w:t>
      </w:r>
      <w:bookmarkStart w:id="13" w:name="_Hlk50465284"/>
      <w:r>
        <w:rPr>
          <w:rFonts w:ascii="Liberation Serif" w:hAnsi="Liberation Serif"/>
          <w:b/>
          <w:sz w:val="24"/>
          <w:szCs w:val="24"/>
        </w:rPr>
        <w:t>Требования по срокам</w:t>
      </w:r>
      <w:bookmarkEnd w:id="13"/>
      <w:r>
        <w:rPr>
          <w:rFonts w:ascii="Liberation Serif" w:hAnsi="Liberation Serif"/>
          <w:b/>
          <w:sz w:val="24"/>
          <w:szCs w:val="24"/>
        </w:rPr>
        <w:t xml:space="preserve"> </w:t>
      </w:r>
      <w:r>
        <w:rPr>
          <w:rFonts w:ascii="Liberation Serif" w:hAnsi="Liberation Serif"/>
          <w:b/>
          <w:sz w:val="24"/>
          <w:szCs w:val="24"/>
        </w:rPr>
        <w:t>в</w:t>
      </w:r>
      <w:r>
        <w:rPr>
          <w:rFonts w:ascii="Liberation Serif" w:hAnsi="Liberation Serif"/>
          <w:b/>
          <w:sz w:val="24"/>
          <w:szCs w:val="24"/>
        </w:rPr>
        <w:t>ыполнения работ</w:t>
      </w:r>
    </w:p>
    <w:tbl>
      <w:tblPr>
        <w:tblW w:w="1008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4144"/>
        <w:gridCol w:w="2720"/>
        <w:gridCol w:w="2663"/>
      </w:tblGrid>
      <w:tr>
        <w:trPr/>
        <w:tc>
          <w:tcPr>
            <w:tcW w:w="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 xml:space="preserve">№ </w:t>
            </w: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п/п</w:t>
            </w:r>
          </w:p>
        </w:tc>
        <w:tc>
          <w:tcPr>
            <w:tcW w:w="41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</w:pPr>
            <w:r>
              <w:rPr>
                <w:rFonts w:ascii="Liberation Serif" w:hAnsi="Liberation Serif"/>
                <w:b w:val="false"/>
                <w:bCs w:val="false"/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</w:t>
            </w:r>
          </w:p>
        </w:tc>
        <w:tc>
          <w:tcPr>
            <w:tcW w:w="41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</w:t>
            </w:r>
          </w:p>
        </w:tc>
        <w:tc>
          <w:tcPr>
            <w:tcW w:w="2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yle26"/>
              <w:keepNext w:val="false"/>
              <w:widowControl w:val="false"/>
              <w:spacing w:before="40" w:after="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  <w:tc>
          <w:tcPr>
            <w:tcW w:w="2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yle26"/>
              <w:keepNext w:val="false"/>
              <w:widowControl w:val="false"/>
              <w:spacing w:before="40" w:after="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</w:t>
            </w:r>
          </w:p>
        </w:tc>
      </w:tr>
      <w:tr>
        <w:trPr>
          <w:trHeight w:val="1133" w:hRule="atLeast"/>
        </w:trPr>
        <w:tc>
          <w:tcPr>
            <w:tcW w:w="56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41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Выполнение инженерно-геодезических изысканий.</w:t>
            </w:r>
          </w:p>
        </w:tc>
        <w:tc>
          <w:tcPr>
            <w:tcW w:w="27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yle26"/>
              <w:keepNext w:val="false"/>
              <w:widowControl w:val="false"/>
              <w:spacing w:before="40" w:after="40"/>
              <w:jc w:val="center"/>
              <w:rPr>
                <w:rFonts w:ascii="Liberation Serif" w:hAnsi="Liberation Serif"/>
                <w:i/>
                <w:i/>
                <w:iCs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с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 xml:space="preserve">даты 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 xml:space="preserve">следующей за датой 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заключения договора</w:t>
            </w:r>
          </w:p>
        </w:tc>
        <w:tc>
          <w:tcPr>
            <w:tcW w:w="266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yle26"/>
              <w:keepNext w:val="false"/>
              <w:widowControl w:val="false"/>
              <w:spacing w:before="40" w:after="40"/>
              <w:jc w:val="center"/>
              <w:rPr>
                <w:rFonts w:ascii="Liberation Serif" w:hAnsi="Liberation Serif"/>
                <w:i/>
                <w:i/>
                <w:iCs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  <w:shd w:fill="auto" w:val="clear"/>
              </w:rPr>
              <w:t>В течении одного месяца с даты следующей за датой заключения договора</w:t>
            </w:r>
          </w:p>
        </w:tc>
      </w:tr>
      <w:tr>
        <w:trPr>
          <w:trHeight w:val="1525" w:hRule="atLeast"/>
        </w:trPr>
        <w:tc>
          <w:tcPr>
            <w:tcW w:w="56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41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Разработка и согласование Рабочей и сметной документации. </w:t>
            </w:r>
          </w:p>
        </w:tc>
        <w:tc>
          <w:tcPr>
            <w:tcW w:w="27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yle26"/>
              <w:keepNext w:val="false"/>
              <w:widowControl w:val="false"/>
              <w:spacing w:before="40" w:after="40"/>
              <w:jc w:val="center"/>
              <w:rPr>
                <w:rFonts w:ascii="Liberation Serif" w:hAnsi="Liberation Serif"/>
                <w:i/>
                <w:i/>
                <w:iCs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с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 xml:space="preserve">даты завершения работ по 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I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 xml:space="preserve"> (первому) этапу</w:t>
            </w:r>
          </w:p>
        </w:tc>
        <w:tc>
          <w:tcPr>
            <w:tcW w:w="266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yle26"/>
              <w:keepNext w:val="false"/>
              <w:widowControl w:val="false"/>
              <w:spacing w:before="40" w:after="40"/>
              <w:jc w:val="center"/>
              <w:rPr>
                <w:rFonts w:ascii="Liberation Serif" w:hAnsi="Liberation Serif"/>
                <w:i/>
                <w:i/>
                <w:iCs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  <w:shd w:fill="auto" w:val="clear"/>
              </w:rPr>
              <w:t xml:space="preserve">В течении двух месяцев 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  <w:shd w:fill="auto" w:val="clear"/>
              </w:rPr>
              <w:t>с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  <w:shd w:fill="auto" w:val="clear"/>
              </w:rPr>
              <w:t xml:space="preserve">даты завершения работ по 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  <w:shd w:fill="auto" w:val="clear"/>
              </w:rPr>
              <w:t>I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  <w:shd w:fill="auto" w:val="clear"/>
              </w:rPr>
              <w:t xml:space="preserve"> (первому) этапу</w:t>
            </w:r>
          </w:p>
        </w:tc>
      </w:tr>
      <w:tr>
        <w:trPr>
          <w:trHeight w:val="1210" w:hRule="atLeast"/>
        </w:trPr>
        <w:tc>
          <w:tcPr>
            <w:tcW w:w="56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41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Строительно-монтажные работы.</w:t>
            </w:r>
          </w:p>
        </w:tc>
        <w:tc>
          <w:tcPr>
            <w:tcW w:w="2720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yle26"/>
              <w:keepNext w:val="false"/>
              <w:widowControl w:val="false"/>
              <w:spacing w:before="40" w:after="40"/>
              <w:jc w:val="center"/>
              <w:rPr>
                <w:rFonts w:ascii="Liberation Serif" w:hAnsi="Liberation Serif"/>
                <w:i/>
                <w:i/>
                <w:iCs/>
                <w:sz w:val="24"/>
                <w:szCs w:val="24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с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 xml:space="preserve">даты завершения работ по 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I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I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(второму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</w:rPr>
              <w:t>) этапу</w:t>
            </w:r>
          </w:p>
        </w:tc>
        <w:tc>
          <w:tcPr>
            <w:tcW w:w="266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Style26"/>
              <w:keepNext w:val="false"/>
              <w:widowControl w:val="false"/>
              <w:spacing w:before="40" w:after="40"/>
              <w:jc w:val="center"/>
              <w:rPr>
                <w:rFonts w:ascii="Liberation Serif" w:hAnsi="Liberation Serif"/>
                <w:i/>
                <w:i/>
                <w:iCs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i/>
                <w:iCs/>
                <w:sz w:val="24"/>
                <w:szCs w:val="24"/>
                <w:shd w:fill="auto" w:val="clear"/>
              </w:rPr>
              <w:t xml:space="preserve">В течении трех месяцев 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  <w:shd w:fill="auto" w:val="clear"/>
              </w:rPr>
              <w:t>с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  <w:shd w:fill="auto" w:val="clear"/>
              </w:rPr>
              <w:t xml:space="preserve">даты завершения работ 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  <w:shd w:fill="auto" w:val="clear"/>
              </w:rPr>
              <w:t xml:space="preserve">по 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  <w:shd w:fill="auto" w:val="clear"/>
              </w:rPr>
              <w:t>I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  <w:shd w:fill="auto" w:val="clear"/>
              </w:rPr>
              <w:t>I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  <w:shd w:fill="auto" w:val="clear"/>
              </w:rPr>
              <w:t>(второму</w:t>
            </w:r>
            <w:r>
              <w:rPr>
                <w:rFonts w:ascii="Liberation Serif" w:hAnsi="Liberation Serif"/>
                <w:i/>
                <w:iCs/>
                <w:sz w:val="24"/>
                <w:szCs w:val="24"/>
                <w:shd w:fill="auto" w:val="clear"/>
              </w:rPr>
              <w:t>) этапу</w:t>
            </w:r>
          </w:p>
        </w:tc>
      </w:tr>
    </w:tbl>
    <w:p>
      <w:pPr>
        <w:sectPr>
          <w:headerReference w:type="default" r:id="rId2"/>
          <w:headerReference w:type="first" r:id="rId3"/>
          <w:footerReference w:type="default" r:id="rId4"/>
          <w:type w:val="nextPage"/>
          <w:pgSz w:w="11906" w:h="16838"/>
          <w:pgMar w:left="1134" w:right="849" w:gutter="0" w:header="709" w:top="851" w:footer="0" w:bottom="993"/>
          <w:pgNumType w:start="1" w:fmt="decimal"/>
          <w:formProt w:val="false"/>
          <w:titlePg/>
          <w:textDirection w:val="lrTb"/>
          <w:docGrid w:type="default" w:linePitch="381" w:charSpace="4294961151"/>
        </w:sectPr>
      </w:pPr>
    </w:p>
    <w:p>
      <w:pPr>
        <w:pStyle w:val="Normal"/>
        <w:widowControl/>
        <w:numPr>
          <w:ilvl w:val="1"/>
          <w:numId w:val="5"/>
        </w:numPr>
        <w:tabs>
          <w:tab w:val="clear" w:pos="708"/>
          <w:tab w:val="left" w:pos="288" w:leader="none"/>
        </w:tabs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Требования к качеству работ</w:t>
      </w:r>
    </w:p>
    <w:p>
      <w:pPr>
        <w:pStyle w:val="Normal"/>
        <w:jc w:val="right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>Таблица 4. Требования к качеству работ</w:t>
      </w:r>
    </w:p>
    <w:p>
      <w:pPr>
        <w:pStyle w:val="Normal"/>
        <w:jc w:val="right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Наименование работ/этапа работ: выполнение строительно-монтажных работ</w:t>
      </w:r>
    </w:p>
    <w:tbl>
      <w:tblPr>
        <w:tblW w:w="1502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2463"/>
        <w:gridCol w:w="8505"/>
        <w:gridCol w:w="2978"/>
      </w:tblGrid>
      <w:tr>
        <w:trPr>
          <w:trHeight w:val="842" w:hRule="atLeast"/>
        </w:trPr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Требование заказчика</w:t>
            </w:r>
          </w:p>
        </w:tc>
        <w:tc>
          <w:tcPr>
            <w:tcW w:w="2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Согласие с требованием/ указание характеристик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0"/>
              <w:jc w:val="center"/>
              <w:rPr>
                <w:rFonts w:ascii="Liberation Serif" w:hAnsi="Liberation Serif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4</w:t>
            </w:r>
          </w:p>
        </w:tc>
      </w:tr>
      <w:tr>
        <w:trPr>
          <w:trHeight w:val="75" w:hRule="atLeast"/>
        </w:trPr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suppressAutoHyphens w:val="true"/>
              <w:spacing w:lineRule="auto" w:line="240" w:before="60" w:after="0"/>
              <w:contextualSpacing w:val="false"/>
              <w:jc w:val="left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9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left"/>
              <w:rPr>
                <w:rFonts w:ascii="Liberation Serif" w:hAnsi="Liberation Serif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 xml:space="preserve">Требования к выполнению работ </w:t>
            </w:r>
          </w:p>
        </w:tc>
        <w:tc>
          <w:tcPr>
            <w:tcW w:w="29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0"/>
                <w:lang w:eastAsia="ru-RU"/>
              </w:rPr>
            </w:r>
          </w:p>
        </w:tc>
      </w:tr>
      <w:tr>
        <w:trPr/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suppressAutoHyphens w:val="true"/>
              <w:spacing w:lineRule="auto" w:line="240" w:before="60" w:after="0"/>
              <w:ind w:left="0" w:right="0" w:hanging="0"/>
              <w:contextualSpacing w:val="false"/>
              <w:jc w:val="left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1.1. </w:t>
            </w:r>
          </w:p>
        </w:tc>
        <w:tc>
          <w:tcPr>
            <w:tcW w:w="109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0"/>
              <w:rPr>
                <w:rFonts w:ascii="Liberation Serif" w:hAnsi="Liberation Serif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Общие требования к выполнению работ</w:t>
            </w:r>
          </w:p>
        </w:tc>
        <w:tc>
          <w:tcPr>
            <w:tcW w:w="29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>
          <w:trHeight w:val="2320" w:hRule="atLeast"/>
        </w:trPr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0"/>
              </w:numPr>
              <w:tabs>
                <w:tab w:val="clear" w:pos="288"/>
                <w:tab w:val="left" w:pos="450" w:leader="none"/>
              </w:tabs>
              <w:suppressAutoHyphens w:val="true"/>
              <w:bidi w:val="0"/>
              <w:spacing w:lineRule="auto" w:line="240" w:before="60" w:after="0"/>
              <w:ind w:left="0" w:right="283" w:hanging="0"/>
              <w:contextualSpacing w:val="false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left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Соблюдение требований технических регламентов, иных нормативных правовых актов и (или) нормативных документов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firstLine="397"/>
              <w:contextualSpacing/>
              <w:jc w:val="both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Основные НТД к выполнению работ приведены в приложении 2 к настоящим техническим требованиям.</w:t>
            </w:r>
          </w:p>
        </w:tc>
        <w:tc>
          <w:tcPr>
            <w:tcW w:w="297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248" w:hRule="atLeast"/>
        </w:trPr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0"/>
              </w:numPr>
              <w:tabs>
                <w:tab w:val="clear" w:pos="288"/>
                <w:tab w:val="left" w:pos="450" w:leader="none"/>
              </w:tabs>
              <w:suppressAutoHyphens w:val="true"/>
              <w:bidi w:val="0"/>
              <w:spacing w:lineRule="auto" w:line="240" w:before="60" w:after="0"/>
              <w:ind w:left="0" w:right="283" w:hanging="0"/>
              <w:contextualSpacing w:val="false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1.1.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567" w:leader="none"/>
              </w:tabs>
              <w:bidi w:val="0"/>
              <w:spacing w:before="0" w:after="0"/>
              <w:rPr>
                <w:rFonts w:ascii="Liberation Serif" w:hAnsi="Liberation Serif"/>
                <w:i w:val="false"/>
                <w:i w:val="false"/>
                <w:iCs w:val="false"/>
                <w:spacing w:val="4"/>
              </w:rPr>
            </w:pPr>
            <w:r>
              <w:rPr>
                <w:rFonts w:ascii="Liberation Serif" w:hAnsi="Liberation Serif"/>
                <w:i w:val="false"/>
                <w:iCs w:val="false"/>
                <w:spacing w:val="4"/>
              </w:rPr>
              <w:t>Требования к выполнению строительно-монтажных работ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tabs>
                <w:tab w:val="clear" w:pos="288"/>
                <w:tab w:val="left" w:pos="466" w:leader="none"/>
              </w:tabs>
              <w:suppressAutoHyphens w:val="true"/>
              <w:spacing w:before="0" w:after="0"/>
              <w:ind w:left="0" w:right="0" w:hanging="0"/>
              <w:contextualSpacing w:val="false"/>
              <w:jc w:val="both"/>
              <w:rPr/>
            </w:pP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 xml:space="preserve">Указаны в </w:t>
            </w:r>
            <w:r>
              <w:rPr>
                <w:rStyle w:val="Fontstyle01"/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 xml:space="preserve">Акте обследования </w:t>
            </w:r>
            <w:r>
              <w:rPr>
                <w:rStyle w:val="Fontstyle01"/>
                <w:rFonts w:eastAsia="Times New Roman" w:cs="Times New Roman" w:ascii="Liberation Serif" w:hAnsi="Liberation Serif"/>
                <w:sz w:val="24"/>
                <w:szCs w:val="24"/>
                <w:shd w:fill="auto" w:val="clear"/>
                <w:lang w:eastAsia="ru-RU"/>
              </w:rPr>
              <w:t xml:space="preserve"> №ТПр 57/26 от 24.03.2026 г</w:t>
            </w:r>
            <w:r>
              <w:rPr>
                <w:rFonts w:eastAsia="Times New Roman" w:cs="Times New Roman"/>
                <w:b w:val="false"/>
                <w:bCs w:val="false"/>
                <w:color w:val="C9211E"/>
                <w:sz w:val="24"/>
                <w:szCs w:val="24"/>
                <w:shd w:fill="auto" w:val="clear"/>
                <w:lang w:eastAsia="ru-RU"/>
              </w:rPr>
              <w:t xml:space="preserve"> 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(Приложение 1 к Т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Т</w:t>
            </w:r>
            <w:r>
              <w:rPr>
                <w:rFonts w:eastAsia="Times New Roman" w:cs="Times New Roman"/>
                <w:b w:val="false"/>
                <w:bCs w:val="false"/>
                <w:sz w:val="24"/>
                <w:szCs w:val="24"/>
                <w:shd w:fill="auto" w:val="clear"/>
                <w:lang w:eastAsia="ru-RU"/>
              </w:rPr>
              <w:t>)</w:t>
            </w:r>
          </w:p>
        </w:tc>
        <w:tc>
          <w:tcPr>
            <w:tcW w:w="297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5" w:hRule="atLeast"/>
        </w:trPr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suppressAutoHyphens w:val="true"/>
              <w:spacing w:lineRule="auto" w:line="240" w:before="60" w:after="0"/>
              <w:ind w:left="0" w:right="0" w:hanging="0"/>
              <w:contextualSpacing w:val="false"/>
              <w:jc w:val="left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9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bidi w:val="0"/>
              <w:spacing w:before="0" w:after="0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Требования к организации работ</w:t>
            </w:r>
          </w:p>
        </w:tc>
        <w:tc>
          <w:tcPr>
            <w:tcW w:w="297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0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suppressAutoHyphens w:val="true"/>
              <w:spacing w:lineRule="auto" w:line="240" w:before="60" w:after="0"/>
              <w:ind w:left="1214" w:right="0" w:hanging="0"/>
              <w:contextualSpacing w:val="false"/>
              <w:rPr>
                <w:rFonts w:ascii="Liberation Serif" w:hAnsi="Liberation Serif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Cs w:val="20"/>
                <w:lang w:eastAsia="ru-RU"/>
              </w:rPr>
            </w:r>
          </w:p>
        </w:tc>
        <w:tc>
          <w:tcPr>
            <w:tcW w:w="24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Liberation Serif" w:hAnsi="Liberation Serif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Cs/>
                <w:sz w:val="24"/>
                <w:szCs w:val="24"/>
                <w:lang w:eastAsia="ru-RU"/>
              </w:rPr>
              <w:t>Организационно технические мероприятия по допуску персонала подрядчика</w:t>
            </w:r>
          </w:p>
        </w:tc>
        <w:tc>
          <w:tcPr>
            <w:tcW w:w="85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288"/>
                <w:tab w:val="left" w:pos="567" w:leader="none"/>
              </w:tabs>
              <w:suppressAutoHyphens w:val="true"/>
              <w:spacing w:before="0" w:after="0"/>
              <w:ind w:left="0" w:right="0" w:firstLine="360"/>
              <w:contextualSpacing w:val="false"/>
              <w:jc w:val="both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>
            <w:pPr>
              <w:pStyle w:val="ListParagraph"/>
              <w:tabs>
                <w:tab w:val="clear" w:pos="288"/>
                <w:tab w:val="left" w:pos="567" w:leader="none"/>
              </w:tabs>
              <w:ind w:left="0" w:right="0" w:firstLine="607"/>
              <w:jc w:val="both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>
            <w:pPr>
              <w:pStyle w:val="ListParagraph"/>
              <w:tabs>
                <w:tab w:val="clear" w:pos="288"/>
                <w:tab w:val="left" w:pos="567" w:leader="none"/>
              </w:tabs>
              <w:ind w:left="0" w:right="0" w:firstLine="607"/>
              <w:jc w:val="both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  <w:t xml:space="preserve">- </w:t>
            </w:r>
            <w:r>
              <w:rPr>
                <w:rFonts w:cs="Times New Roman"/>
                <w:b w:val="false"/>
                <w:bCs w:val="false"/>
                <w:sz w:val="24"/>
                <w:szCs w:val="24"/>
              </w:rPr>
              <w:t xml:space="preserve">согласование с Заказчиком перечня мероприятий по предотвращению случаев повреждения здоровья работников, в соответствии </w:t>
            </w:r>
            <w:r>
              <w:rPr>
                <w:rFonts w:cs="Times New Roman"/>
                <w:b w:val="false"/>
                <w:bCs w:val="false"/>
                <w:kern w:val="2"/>
                <w:sz w:val="24"/>
                <w:szCs w:val="24"/>
              </w:rPr>
              <w:t>с требованиями статьи 214 Трудового кодекса РФ;</w:t>
            </w:r>
          </w:p>
          <w:p>
            <w:pPr>
              <w:pStyle w:val="ListParagraph"/>
              <w:tabs>
                <w:tab w:val="clear" w:pos="288"/>
                <w:tab w:val="left" w:pos="567" w:leader="none"/>
              </w:tabs>
              <w:ind w:left="0" w:right="0" w:firstLine="607"/>
              <w:jc w:val="both"/>
              <w:rPr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/>
                <w:b w:val="false"/>
                <w:bCs w:val="false"/>
                <w:kern w:val="2"/>
                <w:sz w:val="24"/>
                <w:szCs w:val="24"/>
              </w:rPr>
              <w:t xml:space="preserve">- </w:t>
            </w:r>
            <w:r>
              <w:rPr>
                <w:rFonts w:cs="Times New Roman"/>
                <w:b w:val="false"/>
                <w:bCs w:val="false"/>
                <w:kern w:val="2"/>
                <w:sz w:val="24"/>
                <w:szCs w:val="24"/>
              </w:rPr>
              <w:t>разработка подрядчиком и согласование с Заказчиком проекта производства работ (ППР);</w:t>
            </w:r>
          </w:p>
          <w:p>
            <w:pPr>
              <w:pStyle w:val="ListParagraph"/>
              <w:tabs>
                <w:tab w:val="clear" w:pos="288"/>
                <w:tab w:val="left" w:pos="567" w:leader="none"/>
              </w:tabs>
              <w:ind w:left="0" w:right="0" w:firstLine="607"/>
              <w:jc w:val="both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- оформление допуска для производства работ в зоне, действующей ЛЭП.</w:t>
            </w:r>
          </w:p>
          <w:p>
            <w:pPr>
              <w:pStyle w:val="ListParagraph"/>
              <w:tabs>
                <w:tab w:val="clear" w:pos="288"/>
                <w:tab w:val="left" w:pos="567" w:leader="none"/>
              </w:tabs>
              <w:ind w:left="0" w:right="0" w:firstLine="607"/>
              <w:jc w:val="both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  <w:t xml:space="preserve">- </w:t>
            </w:r>
            <w:r>
              <w:rPr>
                <w:b w:val="false"/>
                <w:bCs w:val="false"/>
              </w:rPr>
              <w:t>с</w:t>
            </w:r>
            <w:r>
              <w:rPr>
                <w:b w:val="false"/>
                <w:bCs w:val="false"/>
              </w:rPr>
              <w:t>огласование с заказчиком Календарного графика выполнения работ.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288"/>
                <w:tab w:val="left" w:pos="567" w:leader="none"/>
              </w:tabs>
              <w:suppressAutoHyphens w:val="true"/>
              <w:spacing w:before="0" w:after="0"/>
              <w:ind w:left="0" w:right="0" w:firstLine="360"/>
              <w:contextualSpacing w:val="false"/>
              <w:jc w:val="both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  <w:t xml:space="preserve">Доставка строительной техники к месту производства работ, доставка к месту работы необходимых материалов (все материалы и оборудование для производства работ доставляются на место проведения работ Подрядчиком самостоятельно). 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288"/>
                <w:tab w:val="left" w:pos="567" w:leader="none"/>
              </w:tabs>
              <w:suppressAutoHyphens w:val="true"/>
              <w:spacing w:before="0" w:after="0"/>
              <w:ind w:left="0" w:right="0" w:firstLine="360"/>
              <w:contextualSpacing w:val="false"/>
              <w:jc w:val="both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  <w:t xml:space="preserve">Организация выполнения строительно-монтажных работ осуществляется в соответствии с РД, </w:t>
            </w:r>
            <w:r>
              <w:rPr>
                <w:b w:val="false"/>
                <w:bCs w:val="false"/>
              </w:rPr>
              <w:t>ППР</w:t>
            </w:r>
            <w:r>
              <w:rPr>
                <w:b w:val="false"/>
                <w:bCs w:val="false"/>
              </w:rPr>
              <w:t xml:space="preserve"> и графиком производства работ, которые разрабатываются Подрядчиком и не менее чем за 10 дней до начала работ предоставляются для согласования Заказчику.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288"/>
                <w:tab w:val="left" w:pos="567" w:leader="none"/>
              </w:tabs>
              <w:suppressAutoHyphens w:val="true"/>
              <w:spacing w:before="0" w:after="0"/>
              <w:ind w:left="0" w:right="0" w:firstLine="360"/>
              <w:contextualSpacing w:val="false"/>
              <w:jc w:val="both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Работы выполнять при наличии уведомления о начале производства работ.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288"/>
                <w:tab w:val="left" w:pos="567" w:leader="none"/>
              </w:tabs>
              <w:suppressAutoHyphens w:val="true"/>
              <w:spacing w:before="0" w:after="0"/>
              <w:ind w:left="0" w:right="0" w:firstLine="360"/>
              <w:contextualSpacing w:val="false"/>
              <w:jc w:val="both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288"/>
                <w:tab w:val="left" w:pos="567" w:leader="none"/>
              </w:tabs>
              <w:suppressAutoHyphens w:val="true"/>
              <w:spacing w:before="0" w:after="0"/>
              <w:ind w:left="0" w:right="0" w:firstLine="360"/>
              <w:contextualSpacing w:val="false"/>
              <w:jc w:val="both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Обеспечить в установленном у Заказчика порядке оформление наряд-допуска на производство работ.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288"/>
                <w:tab w:val="left" w:pos="567" w:leader="none"/>
              </w:tabs>
              <w:suppressAutoHyphens w:val="true"/>
              <w:spacing w:before="0" w:after="0"/>
              <w:ind w:left="0" w:right="0" w:firstLine="360"/>
              <w:contextualSpacing w:val="false"/>
              <w:jc w:val="both"/>
              <w:rPr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Подготовку рабочих мест и допуск к выполнению работ выполняет персонал Заказчика.</w:t>
            </w:r>
          </w:p>
        </w:tc>
        <w:tc>
          <w:tcPr>
            <w:tcW w:w="2978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0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suppressAutoHyphens w:val="true"/>
              <w:spacing w:lineRule="auto" w:line="240" w:before="60" w:after="0"/>
              <w:ind w:left="0" w:right="0" w:hanging="0"/>
              <w:contextualSpacing w:val="false"/>
              <w:jc w:val="left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9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bidi w:val="0"/>
              <w:spacing w:before="0" w:after="0"/>
              <w:jc w:val="both"/>
              <w:rPr>
                <w:rFonts w:ascii="Liberation Serif" w:hAnsi="Liberation Serif"/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978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793" w:hRule="atLeast"/>
        </w:trPr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0"/>
              </w:numPr>
              <w:tabs>
                <w:tab w:val="clear" w:pos="288"/>
                <w:tab w:val="left" w:pos="450" w:leader="none"/>
              </w:tabs>
              <w:suppressAutoHyphens w:val="true"/>
              <w:bidi w:val="0"/>
              <w:spacing w:lineRule="auto" w:line="240" w:before="60" w:after="0"/>
              <w:ind w:left="0" w:right="283" w:hanging="0"/>
              <w:contextualSpacing w:val="false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1.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3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bidi w:val="0"/>
              <w:spacing w:before="0" w:after="0"/>
              <w:rPr>
                <w:rFonts w:ascii="Liberation Serif" w:hAnsi="Liberation Serif"/>
                <w:i w:val="false"/>
                <w:i w:val="false"/>
                <w:iCs w:val="false"/>
              </w:rPr>
            </w:pPr>
            <w:r>
              <w:rPr>
                <w:rFonts w:ascii="Liberation Serif" w:hAnsi="Liberation Serif"/>
                <w:i w:val="false"/>
                <w:iCs w:val="false"/>
              </w:rPr>
              <w:t>Требования к используемым материалам  и оборудованию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sz w:val="24"/>
                <w:szCs w:val="24"/>
                <w:lang w:eastAsia="ru-RU"/>
              </w:rPr>
              <w:t>1.3.1.1.  Заказчик передает Подрядчику с центрального склада филиала АО «ДРСК» «ЮЯЭС» в г. Алдане, ул. Тарабукина 60а, следующее оборудование в монтаж, согласно приложению 5 к настоящим Т</w:t>
            </w:r>
            <w:r>
              <w:rPr>
                <w:rFonts w:cs="Times New Roman" w:ascii="Liberation Serif" w:hAnsi="Liberation Serif"/>
                <w:sz w:val="24"/>
                <w:szCs w:val="24"/>
                <w:lang w:eastAsia="ru-RU"/>
              </w:rPr>
              <w:t>Т</w:t>
            </w:r>
            <w:r>
              <w:rPr>
                <w:rFonts w:cs="Times New Roman" w:ascii="Liberation Serif" w:hAnsi="Liberation Serif"/>
                <w:sz w:val="24"/>
                <w:szCs w:val="24"/>
                <w:lang w:eastAsia="ru-RU"/>
              </w:rPr>
              <w:t xml:space="preserve">. Передача оборудования осуществляется (по форме ОС-15), материально ответственному лицу Подрядной организации.     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  <w:lang w:eastAsia="ru-RU"/>
              </w:rPr>
              <w:t xml:space="preserve">1.3.1.2. </w:t>
            </w:r>
            <w:r>
              <w:rPr>
                <w:rFonts w:cs="Times New Roman" w:ascii="Liberation Serif" w:hAnsi="Liberation Serif"/>
                <w:bCs/>
                <w:sz w:val="24"/>
                <w:szCs w:val="24"/>
                <w:lang w:eastAsia="ru-RU"/>
              </w:rPr>
              <w:t>Комплектация остальным необходимым материал</w:t>
            </w:r>
            <w:r>
              <w:rPr>
                <w:rFonts w:cs="Times New Roman" w:ascii="Liberation Serif" w:hAnsi="Liberation Serif"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cs="Times New Roman" w:ascii="Liberation Serif" w:hAnsi="Liberation Serif"/>
                <w:bCs/>
                <w:sz w:val="24"/>
                <w:szCs w:val="24"/>
                <w:lang w:eastAsia="ru-RU"/>
              </w:rPr>
              <w:t xml:space="preserve">м для выполнения работ осуществляется подрядчиком самостоятельно в полном объеме, в соответствии с </w:t>
            </w:r>
            <w:r>
              <w:rPr>
                <w:rFonts w:cs="Times New Roman" w:ascii="Liberation Serif" w:hAnsi="Liberation Serif"/>
                <w:bCs/>
                <w:sz w:val="24"/>
                <w:szCs w:val="24"/>
                <w:lang w:eastAsia="ru-RU"/>
              </w:rPr>
              <w:t xml:space="preserve">Актом обследования </w:t>
            </w:r>
            <w:r>
              <w:rPr>
                <w:rFonts w:cs="Times New Roman" w:ascii="Liberation Serif" w:hAnsi="Liberation Serif"/>
                <w:bCs/>
                <w:sz w:val="24"/>
                <w:szCs w:val="24"/>
                <w:lang w:eastAsia="ru-RU"/>
              </w:rPr>
              <w:t xml:space="preserve"> и сметными расчётами </w:t>
            </w:r>
            <w:r>
              <w:rPr>
                <w:rFonts w:cs="Times New Roman" w:ascii="Liberation Serif" w:hAnsi="Liberation Serif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Liberation Serif" w:hAnsi="Liberation Serif"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cs="Times New Roman" w:ascii="Liberation Serif" w:hAnsi="Liberation Serif"/>
                <w:bCs/>
                <w:i/>
                <w:iCs/>
                <w:sz w:val="24"/>
                <w:szCs w:val="24"/>
                <w:lang w:eastAsia="ru-RU"/>
              </w:rPr>
              <w:t xml:space="preserve">Приложение 1 </w:t>
            </w:r>
            <w:r>
              <w:rPr>
                <w:rFonts w:cs="Times New Roman" w:ascii="Liberation Serif" w:hAnsi="Liberation Serif"/>
                <w:bCs/>
                <w:i/>
                <w:iCs/>
                <w:sz w:val="24"/>
                <w:szCs w:val="24"/>
                <w:lang w:eastAsia="ru-RU"/>
              </w:rPr>
              <w:t>и Приложение 5</w:t>
            </w:r>
            <w:r>
              <w:rPr>
                <w:rFonts w:cs="Times New Roman" w:ascii="Liberation Serif" w:hAnsi="Liberation Serif"/>
                <w:bCs/>
                <w:i/>
                <w:iCs/>
                <w:sz w:val="24"/>
                <w:szCs w:val="24"/>
                <w:lang w:eastAsia="ru-RU"/>
              </w:rPr>
              <w:t xml:space="preserve"> к </w:t>
            </w:r>
            <w:r>
              <w:rPr>
                <w:rFonts w:cs="Times New Roman" w:ascii="Liberation Serif" w:hAnsi="Liberation Serif"/>
                <w:bCs/>
                <w:i/>
                <w:iCs/>
                <w:sz w:val="24"/>
                <w:szCs w:val="24"/>
                <w:lang w:eastAsia="ru-RU"/>
              </w:rPr>
              <w:t>настоящ</w:t>
            </w:r>
            <w:r>
              <w:rPr>
                <w:rFonts w:cs="Times New Roman" w:ascii="Liberation Serif" w:hAnsi="Liberation Serif"/>
                <w:bCs/>
                <w:i/>
                <w:iCs/>
                <w:sz w:val="24"/>
                <w:szCs w:val="24"/>
                <w:lang w:eastAsia="ru-RU"/>
              </w:rPr>
              <w:t>им</w:t>
            </w:r>
            <w:r>
              <w:rPr>
                <w:rFonts w:cs="Times New Roman" w:ascii="Liberation Serif" w:hAnsi="Liberation Serif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Liberation Serif" w:hAnsi="Liberation Serif"/>
                <w:bCs/>
                <w:i/>
                <w:iCs/>
                <w:sz w:val="24"/>
                <w:szCs w:val="24"/>
                <w:lang w:eastAsia="ru-RU"/>
              </w:rPr>
              <w:t>Т</w:t>
            </w:r>
            <w:r>
              <w:rPr>
                <w:rFonts w:cs="Times New Roman" w:ascii="Liberation Serif" w:hAnsi="Liberation Serif"/>
                <w:bCs/>
                <w:i/>
                <w:iCs/>
                <w:sz w:val="24"/>
                <w:szCs w:val="24"/>
                <w:lang w:eastAsia="ru-RU"/>
              </w:rPr>
              <w:t>Т</w:t>
            </w:r>
            <w:r>
              <w:rPr>
                <w:rFonts w:cs="Times New Roman" w:ascii="Liberation Serif" w:hAnsi="Liberation Serif"/>
                <w:bCs/>
                <w:sz w:val="24"/>
                <w:szCs w:val="24"/>
                <w:lang w:eastAsia="ru-RU"/>
              </w:rPr>
              <w:t>)</w:t>
            </w:r>
            <w:r>
              <w:rPr>
                <w:rFonts w:cs="Times New Roman" w:ascii="Liberation Serif" w:hAnsi="Liberation Serif"/>
                <w:bCs/>
                <w:sz w:val="24"/>
                <w:szCs w:val="24"/>
                <w:lang w:eastAsia="ru-RU"/>
              </w:rPr>
              <w:t xml:space="preserve">, с согласованием номенклатуры и количества приобретаемых материалов с Заказчиком. </w:t>
            </w:r>
            <w:r>
              <w:rPr>
                <w:rFonts w:cs="Liberation Serif;Times New Roman" w:ascii="Liberation Serif" w:hAnsi="Liberation Serif"/>
                <w:bCs/>
                <w:sz w:val="24"/>
                <w:szCs w:val="24"/>
                <w:lang w:eastAsia="ru-RU"/>
              </w:rPr>
              <w:t>Тип и состав оборудования и материалов, закупаемого Подрядчиком, может быть изменен только в случае предварительного согласования с Заказчиком.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 xml:space="preserve">В случае, если Подрядчиком предлагается эквивалент требуемого Заказчиком материала/оборудования, в составе своего предложения он должен в обязательном порядке предоставить подробное техническое описание предлагаемого к поставке эквивалента. 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При согласовании замены материалов или оборудования на эквивалентное предоставлять конъюнктурный анализ стоимости эквивалента состоящий не менее чем из 3 предложений поставщиков товара.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cs="Liberation Serif;Times New Roman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>* Эквивалентная продукция - это продукция, которая по техническим и функциональным характеристикам не уступает характеристикам, заявленным в Документации о закупке, в том числе по гарантийным срокам эксплуатации.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cs="Liberation Serif;Times New Roman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 xml:space="preserve">Если в процессе производства работ Подрядчиком будут предложены (и согласованы с Заказчиком) эквиваленты требуемой Заказчику продукции или её составных частей, Подрядчик принимает на себя все затраты 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 xml:space="preserve">связанные с изменением ведомости объёмов 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рабо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т (состава работ).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cs="Liberation Serif;Times New Roman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>Применение эквивалентных материалов или оборудования Подрядчиком допустимо только при согласовании с Заказчиком и проведении в случае необходимости лабораторных исследований по данным материалам, которые проводятся за счет Подрядчика, без увеличения сметной стоимости.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/>
              </w:rPr>
            </w:pPr>
            <w:r>
              <w:rPr>
                <w:rFonts w:cs="Liberation Serif;Times New Roman" w:ascii="Liberation Serif" w:hAnsi="Liberation Serif"/>
                <w:bCs/>
                <w:sz w:val="24"/>
                <w:szCs w:val="24"/>
                <w:lang w:eastAsia="ru-RU"/>
              </w:rPr>
              <w:t xml:space="preserve">1.3.1.3. </w:t>
            </w:r>
            <w:r>
              <w:rPr>
                <w:rFonts w:cs="Liberation Serif;Times New Roman" w:ascii="Liberation Serif" w:hAnsi="Liberation Serif"/>
                <w:bCs/>
                <w:sz w:val="24"/>
                <w:szCs w:val="24"/>
                <w:lang w:eastAsia="ru-RU"/>
              </w:rPr>
              <w:t>Предложения по применению материалов эквивалентов могут быть предоставлены Подрядчиком в адрес Заказчика, в течении 5 рабочих дней с даты выдачи «в производство работ» рабочих чертежей.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/>
              </w:rPr>
            </w:pPr>
            <w:r>
              <w:rPr>
                <w:rFonts w:cs="Liberation Serif;Times New Roman" w:ascii="Liberation Serif" w:hAnsi="Liberation Serif"/>
                <w:bCs/>
                <w:color w:val="000000"/>
                <w:sz w:val="24"/>
                <w:szCs w:val="24"/>
                <w:lang w:eastAsia="ru-RU"/>
              </w:rPr>
              <w:t xml:space="preserve">1.3.1.4. </w:t>
            </w:r>
            <w:r>
              <w:rPr>
                <w:rFonts w:ascii="Liberation Serif" w:hAnsi="Liberation Serif"/>
                <w:bCs/>
                <w:color w:val="000000"/>
                <w:sz w:val="24"/>
                <w:szCs w:val="24"/>
                <w:lang w:eastAsia="ru-RU"/>
              </w:rPr>
              <w:t>При закупке материалов для выполнения строительно-монтажных работ по Договору применять Постановление Правительства Российской Федерации от 23 декабря 2024 г. №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rFonts w:ascii="Liberation Serif" w:hAnsi="Liberation Serif"/>
                <w:bCs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/>
              </w:rPr>
            </w:pPr>
            <w:r>
              <w:rPr>
                <w:rFonts w:cs="Liberation Serif;Times New Roman" w:ascii="Liberation Serif" w:hAnsi="Liberation Serif"/>
                <w:bCs/>
                <w:sz w:val="24"/>
                <w:szCs w:val="24"/>
                <w:shd w:fill="FFFFFF" w:val="clear"/>
              </w:rPr>
              <w:t xml:space="preserve">1.3.1.5. </w:t>
            </w:r>
            <w:r>
              <w:rPr>
                <w:rFonts w:cs="Liberation Serif;Times New Roman" w:ascii="Liberation Serif" w:hAnsi="Liberation Serif"/>
                <w:bCs/>
                <w:sz w:val="24"/>
                <w:szCs w:val="24"/>
                <w:shd w:fill="FFFFFF" w:val="clear"/>
              </w:rPr>
              <w:t>Комплектация, в том числе доставка необходимы</w:t>
            </w:r>
            <w:r>
              <w:rPr>
                <w:rFonts w:cs="Liberation Serif;Times New Roman" w:ascii="Liberation Serif" w:hAnsi="Liberation Serif"/>
                <w:bCs/>
                <w:sz w:val="24"/>
                <w:szCs w:val="24"/>
                <w:shd w:fill="FFFFFF" w:val="clear"/>
              </w:rPr>
              <w:t>х</w:t>
            </w:r>
            <w:r>
              <w:rPr>
                <w:rFonts w:cs="Liberation Serif;Times New Roman" w:ascii="Liberation Serif" w:hAnsi="Liberation Serif"/>
                <w:bCs/>
                <w:sz w:val="24"/>
                <w:szCs w:val="24"/>
                <w:shd w:fill="FFFFFF" w:val="clear"/>
              </w:rPr>
              <w:t xml:space="preserve"> материал</w:t>
            </w:r>
            <w:r>
              <w:rPr>
                <w:rFonts w:cs="Liberation Serif;Times New Roman" w:ascii="Liberation Serif" w:hAnsi="Liberation Serif"/>
                <w:bCs/>
                <w:sz w:val="24"/>
                <w:szCs w:val="24"/>
                <w:shd w:fill="FFFFFF" w:val="clear"/>
              </w:rPr>
              <w:t>ов</w:t>
            </w:r>
            <w:r>
              <w:rPr>
                <w:rFonts w:cs="Liberation Serif;Times New Roman" w:ascii="Liberation Serif" w:hAnsi="Liberation Serif"/>
                <w:bCs/>
                <w:sz w:val="24"/>
                <w:szCs w:val="24"/>
                <w:shd w:fill="FFFFFF" w:val="clear"/>
              </w:rPr>
              <w:t xml:space="preserve"> и оборудовани</w:t>
            </w:r>
            <w:r>
              <w:rPr>
                <w:rFonts w:cs="Liberation Serif;Times New Roman" w:ascii="Liberation Serif" w:hAnsi="Liberation Serif"/>
                <w:bCs/>
                <w:sz w:val="24"/>
                <w:szCs w:val="24"/>
                <w:shd w:fill="FFFFFF" w:val="clear"/>
              </w:rPr>
              <w:t>я</w:t>
            </w:r>
            <w:r>
              <w:rPr>
                <w:rFonts w:cs="Liberation Serif;Times New Roman" w:ascii="Liberation Serif" w:hAnsi="Liberation Serif"/>
                <w:bCs/>
                <w:sz w:val="24"/>
                <w:szCs w:val="24"/>
                <w:shd w:fill="FFFFFF" w:val="clear"/>
              </w:rPr>
              <w:t xml:space="preserve">, осуществляется Подрядчиком самостоятельно и за свой счет.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7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1" w:hRule="atLeast"/>
        </w:trPr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suppressAutoHyphens w:val="true"/>
              <w:spacing w:lineRule="auto" w:line="240" w:before="60" w:after="0"/>
              <w:ind w:left="0" w:right="0" w:hanging="0"/>
              <w:contextualSpacing w:val="false"/>
              <w:jc w:val="left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9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bidi w:val="0"/>
              <w:spacing w:before="0" w:after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29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Liberation Serif" w:hAnsi="Liberation Serif" w:eastAsia="Times New Roman" w:cs="Times New Roman"/>
                <w:sz w:val="24"/>
                <w:szCs w:val="20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0"/>
                <w:lang w:eastAsia="ru-RU"/>
              </w:rPr>
            </w:r>
          </w:p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>
          <w:trHeight w:val="967" w:hRule="atLeast"/>
        </w:trPr>
        <w:tc>
          <w:tcPr>
            <w:tcW w:w="10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0"/>
              </w:numPr>
              <w:tabs>
                <w:tab w:val="clear" w:pos="288"/>
                <w:tab w:val="left" w:pos="450" w:leader="none"/>
              </w:tabs>
              <w:suppressAutoHyphens w:val="true"/>
              <w:bidi w:val="0"/>
              <w:spacing w:lineRule="auto" w:line="240" w:before="60" w:after="0"/>
              <w:ind w:left="0" w:right="283" w:hanging="0"/>
              <w:contextualSpacing w:val="false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1.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4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Liberation Serif" w:hAnsi="Liberation Serif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Cs/>
                <w:sz w:val="24"/>
                <w:szCs w:val="24"/>
                <w:lang w:eastAsia="ru-RU"/>
              </w:rPr>
              <w:t>Контроль качества работ</w:t>
            </w:r>
          </w:p>
        </w:tc>
        <w:tc>
          <w:tcPr>
            <w:tcW w:w="85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tabs>
                <w:tab w:val="clear" w:pos="708"/>
                <w:tab w:val="left" w:pos="1560" w:leader="none"/>
              </w:tabs>
              <w:suppressAutoHyphens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1.4.1.1. </w:t>
            </w:r>
            <w:r>
              <w:rPr>
                <w:rFonts w:eastAsia="Times New Roman" w:cs="Liberation Serif;Times New Roman" w:ascii="Liberation Serif" w:hAnsi="Liberation Serif"/>
                <w:sz w:val="24"/>
                <w:szCs w:val="24"/>
                <w:lang w:eastAsia="ru-RU"/>
              </w:rPr>
              <w:t>При выполнении строительно-монтажных работ Подрядчик обеспечивает:</w:t>
            </w:r>
          </w:p>
          <w:p>
            <w:pPr>
              <w:pStyle w:val="Normal"/>
              <w:tabs>
                <w:tab w:val="clear" w:pos="708"/>
                <w:tab w:val="left" w:pos="1560" w:leader="none"/>
              </w:tabs>
              <w:suppressAutoHyphens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eastAsia="Times New Roman" w:cs="Liberation Serif;Times New Roman" w:ascii="Liberation Serif" w:hAnsi="Liberation Serif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Строгое соблюдение требований, содержащихся в Технических требованиях к Договору, в СНиП, СП, СанПин, технических регламентах и иных документах, регламентирующих строительную деятельность;</w:t>
            </w:r>
          </w:p>
          <w:p>
            <w:pPr>
              <w:pStyle w:val="Normal"/>
              <w:tabs>
                <w:tab w:val="clear" w:pos="708"/>
                <w:tab w:val="left" w:pos="1560" w:leader="none"/>
              </w:tabs>
              <w:suppressAutoHyphens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cs="Liberation Serif;Times New Roman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>- Производство работ в полном соответствии с согласованными с Заказчиком проектом производства работ и календарным (сетевым) графиком строительства (реконструкции), строительными нормами и правилами;</w:t>
            </w:r>
          </w:p>
          <w:p>
            <w:pPr>
              <w:pStyle w:val="Normal"/>
              <w:tabs>
                <w:tab w:val="clear" w:pos="708"/>
                <w:tab w:val="left" w:pos="1560" w:leader="none"/>
              </w:tabs>
              <w:suppressAutoHyphens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 xml:space="preserve">- 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С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облюдение при строительстве (реконструкции) объекта необходимых мероприятий по технике безопасности, охране труда рациональному использованию территории, охране окружающей среды, зелёных насаждений и земли;</w:t>
            </w:r>
          </w:p>
          <w:p>
            <w:pPr>
              <w:pStyle w:val="Normal"/>
              <w:tabs>
                <w:tab w:val="clear" w:pos="708"/>
                <w:tab w:val="left" w:pos="1560" w:leader="none"/>
              </w:tabs>
              <w:suppressAutoHyphens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cs="Liberation Serif;Times New Roman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>Отступления от проектных решений при выполнении отдельных конструктивов и переделов строительно-монтажных работ возможны только после согласования с Заказчиком и проектной организацией.</w:t>
            </w:r>
          </w:p>
          <w:p>
            <w:pPr>
              <w:pStyle w:val="Normal"/>
              <w:tabs>
                <w:tab w:val="clear" w:pos="708"/>
                <w:tab w:val="left" w:pos="1560" w:leader="none"/>
              </w:tabs>
              <w:suppressAutoHyphens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>1.4.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1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.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2.</w:t>
            </w:r>
            <w:r>
              <w:rPr>
                <w:rFonts w:cs="Liberation Serif;Times New Roman" w:ascii="Liberation Serif" w:hAnsi="Liberation Serif"/>
                <w:bCs/>
                <w:sz w:val="24"/>
                <w:szCs w:val="24"/>
              </w:rPr>
              <w:t xml:space="preserve"> 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До начала работ необходимо оформить двусторонний Акт готовности объекта к выполнению работ и предоставить его на утверждение Заказчику.</w:t>
            </w:r>
          </w:p>
          <w:p>
            <w:pPr>
              <w:pStyle w:val="Normal"/>
              <w:tabs>
                <w:tab w:val="clear" w:pos="708"/>
                <w:tab w:val="left" w:pos="1560" w:leader="none"/>
              </w:tabs>
              <w:suppressAutoHyphens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>1.4.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1.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3. 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 Обеспечить в установленном у Заказчика порядке оформление наряда-допуска на производство работ.</w:t>
            </w:r>
          </w:p>
          <w:p>
            <w:pPr>
              <w:pStyle w:val="Normal"/>
              <w:tabs>
                <w:tab w:val="clear" w:pos="708"/>
                <w:tab w:val="left" w:pos="1560" w:leader="none"/>
              </w:tabs>
              <w:suppressAutoHyphens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>1.4.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1.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4. Работы выполнять при наличии уведомления о начале производства работ.</w:t>
            </w:r>
          </w:p>
          <w:p>
            <w:pPr>
              <w:pStyle w:val="Normal"/>
              <w:tabs>
                <w:tab w:val="clear" w:pos="708"/>
                <w:tab w:val="left" w:pos="1560" w:leader="none"/>
              </w:tabs>
              <w:suppressAutoHyphens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iCs/>
                <w:sz w:val="24"/>
                <w:szCs w:val="24"/>
              </w:rPr>
              <w:t>1.4.</w:t>
            </w:r>
            <w:r>
              <w:rPr>
                <w:rFonts w:cs="Liberation Serif;Times New Roman" w:ascii="Liberation Serif" w:hAnsi="Liberation Serif"/>
                <w:iCs/>
                <w:sz w:val="24"/>
                <w:szCs w:val="24"/>
              </w:rPr>
              <w:t>1.</w:t>
            </w:r>
            <w:r>
              <w:rPr>
                <w:rFonts w:cs="Liberation Serif;Times New Roman" w:ascii="Liberation Serif" w:hAnsi="Liberation Serif"/>
                <w:iCs/>
                <w:sz w:val="24"/>
                <w:szCs w:val="24"/>
              </w:rPr>
              <w:t>5. 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субподрядчиков, как и за свои собственные действия по исполнению договора подряда несет Подрядчик.</w:t>
            </w:r>
          </w:p>
          <w:p>
            <w:pPr>
              <w:pStyle w:val="Normal"/>
              <w:tabs>
                <w:tab w:val="clear" w:pos="708"/>
                <w:tab w:val="left" w:pos="1560" w:leader="none"/>
              </w:tabs>
              <w:suppressAutoHyphens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iCs/>
                <w:sz w:val="24"/>
                <w:szCs w:val="24"/>
              </w:rPr>
              <w:t>1.4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.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1.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6. Подрядчик ведёт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      </w:r>
          </w:p>
          <w:p>
            <w:pPr>
              <w:pStyle w:val="Normal"/>
              <w:tabs>
                <w:tab w:val="clear" w:pos="708"/>
                <w:tab w:val="left" w:pos="1560" w:leader="none"/>
              </w:tabs>
              <w:suppressAutoHyphens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cs="Liberation Serif;Times New Roman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>- 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>
            <w:pPr>
              <w:pStyle w:val="Normal"/>
              <w:tabs>
                <w:tab w:val="clear" w:pos="708"/>
                <w:tab w:val="left" w:pos="1560" w:leader="none"/>
              </w:tabs>
              <w:suppressAutoHyphens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cs="Liberation Serif;Times New Roman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>- журнал учёта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>
            <w:pPr>
              <w:pStyle w:val="Normal"/>
              <w:tabs>
                <w:tab w:val="clear" w:pos="708"/>
                <w:tab w:val="left" w:pos="1560" w:leader="none"/>
              </w:tabs>
              <w:suppressAutoHyphens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cs="Liberation Serif;Times New Roman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>Формы журналов должны соответствовать типовым межотраслевым формам № КС-6 и № КС-6А, утверждённым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  <w:p>
            <w:pPr>
              <w:pStyle w:val="Normal"/>
              <w:tabs>
                <w:tab w:val="clear" w:pos="708"/>
                <w:tab w:val="left" w:pos="1560" w:leader="none"/>
              </w:tabs>
              <w:suppressAutoHyphens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>1.4.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1.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7.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      </w:r>
          </w:p>
          <w:p>
            <w:pPr>
              <w:pStyle w:val="Normal"/>
              <w:tabs>
                <w:tab w:val="clear" w:pos="708"/>
                <w:tab w:val="left" w:pos="1560" w:leader="none"/>
              </w:tabs>
              <w:suppressAutoHyphens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 xml:space="preserve">1.4.1.8. В процессе проведения строительных работ и после их завершения, собственными силами и в счет договорной цены Подрядчик обеспечивает </w:t>
            </w:r>
            <w:r>
              <w:rPr>
                <w:rFonts w:eastAsia="TimesNewRoman" w:cs="Liberation Serif;Times New Roman" w:ascii="Liberation Serif" w:hAnsi="Liberation Serif"/>
                <w:sz w:val="24"/>
                <w:szCs w:val="24"/>
              </w:rPr>
              <w:t>соблюдение требований ГОСТ Р 59053-2020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 xml:space="preserve">, ГОСТ Р 59061-2020 </w:t>
            </w:r>
            <w:r>
              <w:rPr>
                <w:rFonts w:eastAsia="TimesNewRoman" w:cs="Liberation Serif;Times New Roman" w:ascii="Liberation Serif" w:hAnsi="Liberation Serif"/>
                <w:sz w:val="24"/>
                <w:szCs w:val="24"/>
              </w:rPr>
              <w:t>по охране окружающей среды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.</w:t>
            </w:r>
          </w:p>
          <w:p>
            <w:pPr>
              <w:pStyle w:val="Normal"/>
              <w:tabs>
                <w:tab w:val="clear" w:pos="708"/>
                <w:tab w:val="left" w:pos="1560" w:leader="none"/>
              </w:tabs>
              <w:suppressAutoHyphens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1.4.1.9. 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Подрядчик осуществляет мероприятия строительного контроля, возложенные на него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  <w:p>
            <w:pPr>
              <w:pStyle w:val="Normal"/>
              <w:tabs>
                <w:tab w:val="clear" w:pos="708"/>
                <w:tab w:val="left" w:pos="1560" w:leader="none"/>
              </w:tabs>
              <w:suppressAutoHyphens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 «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ЮЯЭС»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      </w:r>
          </w:p>
          <w:p>
            <w:pPr>
              <w:pStyle w:val="Normal"/>
              <w:tabs>
                <w:tab w:val="clear" w:pos="708"/>
                <w:tab w:val="left" w:pos="1560" w:leader="none"/>
              </w:tabs>
              <w:suppressAutoHyphens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      </w:r>
          </w:p>
          <w:p>
            <w:pPr>
              <w:pStyle w:val="Normal"/>
              <w:tabs>
                <w:tab w:val="clear" w:pos="708"/>
                <w:tab w:val="left" w:pos="1560" w:leader="none"/>
              </w:tabs>
              <w:suppressAutoHyphens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При нарушении технологии производства работ, отступлений от ППР, требований ТУ, применении материалов, не соответствующих ГОСТам и ТУ, работы прекращаются по указанию лица, осуществляющего технический надзор, и устанавливается срок устранения нарушения.</w:t>
            </w:r>
          </w:p>
          <w:p>
            <w:pPr>
              <w:pStyle w:val="Normal"/>
              <w:tabs>
                <w:tab w:val="clear" w:pos="708"/>
                <w:tab w:val="left" w:pos="1560" w:leader="none"/>
              </w:tabs>
              <w:suppressAutoHyphens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Подрядчик при необходимости письменно уведомляет Заказчика о необходимости проведения освидетельствования и / или приемки Скрытых работ. </w:t>
            </w:r>
          </w:p>
          <w:p>
            <w:pPr>
              <w:pStyle w:val="Normal"/>
              <w:tabs>
                <w:tab w:val="clear" w:pos="708"/>
                <w:tab w:val="left" w:pos="1560" w:leader="none"/>
              </w:tabs>
              <w:suppressAutoHyphens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</w:tc>
        <w:tc>
          <w:tcPr>
            <w:tcW w:w="297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23" w:hRule="atLeast"/>
        </w:trPr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0"/>
              </w:numPr>
              <w:tabs>
                <w:tab w:val="clear" w:pos="288"/>
                <w:tab w:val="left" w:pos="450" w:leader="none"/>
              </w:tabs>
              <w:suppressAutoHyphens w:val="true"/>
              <w:bidi w:val="0"/>
              <w:spacing w:lineRule="auto" w:line="240" w:before="60" w:after="0"/>
              <w:ind w:left="0" w:right="283" w:hanging="0"/>
              <w:contextualSpacing w:val="false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1.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bidi w:val="0"/>
              <w:spacing w:before="0" w:after="0"/>
              <w:rPr>
                <w:rFonts w:ascii="Liberation Serif" w:hAnsi="Liberation Serif"/>
                <w:bCs/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i w:val="false"/>
                <w:iCs w:val="false"/>
                <w:sz w:val="24"/>
                <w:szCs w:val="24"/>
              </w:rPr>
              <w:t>Контроль качества используемых материалов и оборудования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hd w:fill="FFFFFF" w:val="clear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Cs/>
                <w:sz w:val="24"/>
                <w:szCs w:val="24"/>
                <w:lang w:eastAsia="ru-RU"/>
              </w:rPr>
              <w:t xml:space="preserve">1.4.2.1. </w:t>
            </w:r>
            <w:r>
              <w:rPr>
                <w:rFonts w:eastAsia="Times New Roman" w:cs="Liberation Serif;Times New Roman" w:ascii="Liberation Serif" w:hAnsi="Liberation Serif"/>
                <w:bCs/>
                <w:sz w:val="24"/>
                <w:szCs w:val="24"/>
                <w:lang w:eastAsia="ru-RU"/>
              </w:rPr>
              <w:t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</w:t>
            </w:r>
          </w:p>
          <w:p>
            <w:pPr>
              <w:pStyle w:val="Normal"/>
              <w:widowControl w:val="false"/>
              <w:shd w:fill="FFFFFF" w:val="clear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eastAsia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pacing w:val="-1"/>
                <w:sz w:val="24"/>
                <w:szCs w:val="24"/>
                <w:lang w:eastAsia="ru-RU"/>
              </w:rPr>
              <w:t>Надлежаще заверенные копии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</w:t>
            </w:r>
          </w:p>
          <w:p>
            <w:pPr>
              <w:pStyle w:val="Normal"/>
              <w:widowControl w:val="false"/>
              <w:shd w:fill="FFFFFF" w:val="clear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Все поставляемые материалы проходят входной контроль, осуществляемый представителями Заказчика и ответственными представителями Подрядчика при получении.</w:t>
            </w:r>
          </w:p>
          <w:p>
            <w:pPr>
              <w:pStyle w:val="Normal"/>
              <w:widowControl w:val="false"/>
              <w:shd w:fill="FFFFFF" w:val="clear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1.4.2.2. 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В случае выявления дефектов при приемке, монтаже, ПНР или в процессе эксплуатации в течении гарантийного срока, в том числе и скрытых, Подрядчик обязан своими силами и за свой счет устранить выявленные дефекты или заменить поставленную продукцию.</w:t>
            </w:r>
          </w:p>
          <w:p>
            <w:pPr>
              <w:pStyle w:val="Normal"/>
              <w:widowControl w:val="false"/>
              <w:shd w:fill="FFFFFF" w:val="clear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pacing w:val="-1"/>
                <w:sz w:val="24"/>
                <w:szCs w:val="24"/>
                <w:lang w:eastAsia="ru-RU"/>
              </w:rPr>
              <w:t xml:space="preserve">1.4.2.3. </w:t>
            </w:r>
            <w:r>
              <w:rPr>
                <w:rFonts w:eastAsia="Times New Roman" w:cs="Times New Roman" w:ascii="Liberation Serif" w:hAnsi="Liberation Serif"/>
                <w:spacing w:val="-1"/>
                <w:sz w:val="24"/>
                <w:szCs w:val="24"/>
                <w:lang w:eastAsia="ru-RU"/>
              </w:rPr>
              <w:t>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эксплуатации).</w:t>
            </w:r>
          </w:p>
          <w:p>
            <w:pPr>
              <w:pStyle w:val="Normal"/>
              <w:widowControl w:val="false"/>
              <w:shd w:fill="FFFFFF" w:val="clear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pacing w:val="-1"/>
                <w:sz w:val="24"/>
                <w:szCs w:val="24"/>
                <w:lang w:eastAsia="ru-RU"/>
              </w:rPr>
              <w:t xml:space="preserve">1.4.2.4. 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Подрядчик несет полную ответственность за обеспечение хранения материалов в соответствии с требованиями завода-изготовителя, осуществляет своевременную консервацию (по необходимости), его осмотр. По требованию Заказчика обеспечивает ему допуск к материалу для его осмотра.</w:t>
            </w:r>
          </w:p>
          <w:p>
            <w:pPr>
              <w:pStyle w:val="Normal"/>
              <w:widowControl w:val="false"/>
              <w:shd w:fill="FFFFFF" w:val="clear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1.4.2.5. 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Подрядчик отвечает за сохранность оборудования и материалов до подписания Акта приемки законченного строительством объекта по форме КС-11.</w:t>
            </w:r>
          </w:p>
        </w:tc>
        <w:tc>
          <w:tcPr>
            <w:tcW w:w="29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>
        <w:trPr>
          <w:trHeight w:val="423" w:hRule="atLeast"/>
        </w:trPr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0"/>
              </w:numPr>
              <w:tabs>
                <w:tab w:val="clear" w:pos="288"/>
                <w:tab w:val="left" w:pos="450" w:leader="none"/>
              </w:tabs>
              <w:suppressAutoHyphens w:val="true"/>
              <w:bidi w:val="0"/>
              <w:spacing w:lineRule="auto" w:line="240" w:before="60" w:after="0"/>
              <w:ind w:left="0" w:right="283" w:hanging="0"/>
              <w:contextualSpacing w:val="false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1.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3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Liberation Serif" w:hAnsi="Liberation Serif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Cs/>
                <w:sz w:val="24"/>
                <w:szCs w:val="24"/>
                <w:lang w:eastAsia="ru-RU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Cs/>
                <w:sz w:val="24"/>
                <w:szCs w:val="24"/>
                <w:lang w:eastAsia="ru-RU"/>
              </w:rPr>
              <w:t xml:space="preserve">1.4.3.1. </w:t>
            </w:r>
            <w:r>
              <w:rPr>
                <w:rFonts w:eastAsia="Times New Roman" w:cs="Times New Roman" w:ascii="Liberation Serif" w:hAnsi="Liberation Serif"/>
                <w:bCs/>
                <w:sz w:val="24"/>
                <w:szCs w:val="24"/>
                <w:lang w:eastAsia="ru-RU"/>
              </w:rPr>
              <w:t>До начала проведения работ в рамках исполнения договора после его заключения подрядчик предоставляет список персонала с указанием сведений  о квалификации персонала, разряде и группе по электробезопасности  с приложением копий  удостоверений на производство специальных видов работ (</w:t>
            </w:r>
            <w:r>
              <w:rPr>
                <w:rFonts w:eastAsia="Times New Roman" w:cs="Times New Roman" w:ascii="Liberation Serif" w:hAnsi="Liberation Serif"/>
                <w:bCs/>
                <w:sz w:val="24"/>
                <w:szCs w:val="24"/>
                <w:lang w:eastAsia="ru-RU"/>
              </w:rPr>
              <w:t xml:space="preserve">работа на высоте, </w:t>
            </w:r>
            <w:r>
              <w:rPr>
                <w:rFonts w:eastAsia="Times New Roman" w:cs="Times New Roman" w:ascii="Liberation Serif" w:hAnsi="Liberation Serif"/>
                <w:bCs/>
                <w:sz w:val="24"/>
                <w:szCs w:val="24"/>
                <w:lang w:eastAsia="ru-RU"/>
              </w:rPr>
              <w:t>огневых, грузоподъемных, работ с электро - и пневмоинструментом) (возможно совмещение специальностей).</w:t>
            </w:r>
          </w:p>
          <w:p>
            <w:pPr>
              <w:pStyle w:val="Normal"/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Cs/>
                <w:sz w:val="24"/>
                <w:szCs w:val="24"/>
                <w:lang w:eastAsia="ru-RU"/>
              </w:rPr>
              <w:t>1.4.3.2. В целях обеспечения безопасности объектов ТЭК (топливно-энергетические компании) персонал подрядной организации должен соответствовать требования Федерального закона от 21.07.2011 № 256-ФЗ.</w:t>
            </w:r>
          </w:p>
        </w:tc>
        <w:tc>
          <w:tcPr>
            <w:tcW w:w="297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suppressAutoHyphens w:val="true"/>
              <w:spacing w:lineRule="auto" w:line="240" w:before="60" w:after="0"/>
              <w:ind w:left="0" w:right="0" w:hanging="0"/>
              <w:contextualSpacing w:val="false"/>
              <w:jc w:val="left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9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bidi w:val="0"/>
              <w:spacing w:before="0" w:after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297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0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0"/>
              </w:numPr>
              <w:tabs>
                <w:tab w:val="clear" w:pos="288"/>
                <w:tab w:val="left" w:pos="450" w:leader="none"/>
              </w:tabs>
              <w:suppressAutoHyphens w:val="true"/>
              <w:bidi w:val="0"/>
              <w:spacing w:lineRule="auto" w:line="240" w:before="60" w:after="0"/>
              <w:ind w:left="0" w:right="283" w:hanging="0"/>
              <w:contextualSpacing w:val="false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1.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5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Работы,  производимые в действующих электроустановках, необходимо проводить с согласованными действиями и мероприятиями по охране труда согласно требованиям главы XLVI "Охрана труда при организации работ командированного персонала», Правила по охране труда при эксплуатации электроустановок, утвержденных приказом Министерства труда и социальной защиты РФ от 15 декабря 2020 г. № 903н (ред. от 29.04.2022).</w:t>
            </w:r>
          </w:p>
        </w:tc>
        <w:tc>
          <w:tcPr>
            <w:tcW w:w="2978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0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0"/>
              </w:numPr>
              <w:tabs>
                <w:tab w:val="clear" w:pos="288"/>
                <w:tab w:val="left" w:pos="450" w:leader="none"/>
              </w:tabs>
              <w:suppressAutoHyphens w:val="true"/>
              <w:bidi w:val="0"/>
              <w:spacing w:lineRule="auto" w:line="240" w:before="60" w:after="0"/>
              <w:ind w:left="0" w:right="283" w:hanging="0"/>
              <w:contextualSpacing w:val="false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1.5.2.</w:t>
            </w:r>
          </w:p>
        </w:tc>
        <w:tc>
          <w:tcPr>
            <w:tcW w:w="109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</w:t>
            </w:r>
            <w:r>
              <w:rPr>
                <w:rFonts w:ascii="Liberation Serif" w:hAnsi="Liberation Serif"/>
                <w:sz w:val="24"/>
                <w:szCs w:val="24"/>
              </w:rPr>
              <w:t>В процессе проведения строительных работ и после их завершения, собственными силами и в счет договорной цены Подрядчик обеспечивает соблюдение требований ГОСТ Р 59053-2020. «Национальный стандарт Российской Федерации. Охрана окружающей среды. Охрана и рациональное использование вод», ГОСТ 17.2.1.04-77 «Охрана природы. Атмосфера. Источники и метеорологические факторы загрязнения, промышленные выбросы».</w:t>
            </w:r>
          </w:p>
        </w:tc>
        <w:tc>
          <w:tcPr>
            <w:tcW w:w="2978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0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0"/>
              </w:numPr>
              <w:tabs>
                <w:tab w:val="clear" w:pos="288"/>
                <w:tab w:val="left" w:pos="450" w:leader="none"/>
              </w:tabs>
              <w:suppressAutoHyphens w:val="true"/>
              <w:bidi w:val="0"/>
              <w:spacing w:lineRule="auto" w:line="240" w:before="60" w:after="0"/>
              <w:ind w:left="0" w:right="283" w:hanging="0"/>
              <w:contextualSpacing w:val="false"/>
              <w:jc w:val="center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1.5.3.</w:t>
            </w:r>
          </w:p>
        </w:tc>
        <w:tc>
          <w:tcPr>
            <w:tcW w:w="1096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Подрядчик (Исполнитель по договору подряда) до начала производства работ (оказания услуг)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работников.</w:t>
            </w:r>
          </w:p>
        </w:tc>
        <w:tc>
          <w:tcPr>
            <w:tcW w:w="2978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suppressAutoHyphens w:val="true"/>
              <w:spacing w:lineRule="auto" w:line="240" w:before="60" w:after="0"/>
              <w:ind w:left="0" w:right="0" w:hanging="0"/>
              <w:contextualSpacing w:val="false"/>
              <w:jc w:val="left"/>
              <w:rPr>
                <w:rFonts w:ascii="Liberation Serif" w:hAnsi="Liberation Serif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Cs w:val="20"/>
                <w:lang w:eastAsia="ru-RU"/>
              </w:rPr>
              <w:t xml:space="preserve">2. </w:t>
            </w:r>
          </w:p>
        </w:tc>
        <w:tc>
          <w:tcPr>
            <w:tcW w:w="109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Требования к результатам работ</w:t>
            </w:r>
          </w:p>
        </w:tc>
        <w:tc>
          <w:tcPr>
            <w:tcW w:w="297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0"/>
              </w:numPr>
              <w:suppressAutoHyphens w:val="true"/>
              <w:bidi w:val="0"/>
              <w:spacing w:lineRule="auto" w:line="240" w:before="60" w:after="0"/>
              <w:ind w:left="0" w:right="0" w:hanging="0"/>
              <w:contextualSpacing w:val="false"/>
              <w:jc w:val="left"/>
              <w:rPr>
                <w:rFonts w:ascii="Liberation Serif" w:hAnsi="Liberation Serif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Cs w:val="20"/>
                <w:lang w:eastAsia="ru-RU"/>
              </w:rPr>
              <w:t>2.1.</w:t>
            </w:r>
          </w:p>
        </w:tc>
        <w:tc>
          <w:tcPr>
            <w:tcW w:w="109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0"/>
              <w:rPr>
                <w:rFonts w:ascii="Liberation Serif" w:hAnsi="Liberation Serif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Общие требования к результатам работ</w:t>
            </w:r>
          </w:p>
        </w:tc>
        <w:tc>
          <w:tcPr>
            <w:tcW w:w="297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869" w:hRule="atLeast"/>
        </w:trPr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suppressAutoHyphens w:val="true"/>
              <w:spacing w:lineRule="auto" w:line="240" w:before="60" w:after="0"/>
              <w:ind w:left="1214" w:right="0" w:hanging="0"/>
              <w:contextualSpacing w:val="false"/>
              <w:jc w:val="left"/>
              <w:rPr>
                <w:rFonts w:ascii="Liberation Serif" w:hAnsi="Liberation Serif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Cs w:val="20"/>
                <w:lang w:eastAsia="ru-RU"/>
              </w:rPr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lineRule="auto" w:line="240" w:before="60" w:after="0"/>
              <w:rPr>
                <w:rFonts w:ascii="Liberation Serif" w:hAnsi="Liberation Serif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iCs/>
                <w:sz w:val="24"/>
                <w:szCs w:val="24"/>
                <w:lang w:eastAsia="ru-RU"/>
              </w:rPr>
              <w:t>Общие требования к выполнению строительно-монтажных работ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jc w:val="both"/>
              <w:rPr>
                <w:rFonts w:ascii="Liberation Serif" w:hAnsi="Liberation Serif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Cs/>
                <w:sz w:val="24"/>
                <w:szCs w:val="24"/>
                <w:lang w:eastAsia="ru-RU"/>
              </w:rPr>
              <w:t>Работы должны быть выполнены в полном объеме в соответствии с разработанной и согласованной Заказчиком рабочей документацией.</w:t>
            </w:r>
          </w:p>
        </w:tc>
        <w:tc>
          <w:tcPr>
            <w:tcW w:w="297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suppressAutoHyphens w:val="true"/>
              <w:spacing w:lineRule="auto" w:line="240" w:before="60" w:after="0"/>
              <w:ind w:left="0" w:right="0" w:hanging="0"/>
              <w:contextualSpacing w:val="false"/>
              <w:jc w:val="left"/>
              <w:rPr>
                <w:rFonts w:ascii="Liberation Serif" w:hAnsi="Liberation Serif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Cs w:val="20"/>
                <w:lang w:eastAsia="ru-RU"/>
              </w:rPr>
              <w:t>2.2.</w:t>
            </w:r>
          </w:p>
        </w:tc>
        <w:tc>
          <w:tcPr>
            <w:tcW w:w="109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Требования к порядку приемки результатов работ</w:t>
            </w:r>
          </w:p>
        </w:tc>
        <w:tc>
          <w:tcPr>
            <w:tcW w:w="297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788" w:hRule="atLeast"/>
        </w:trPr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60" w:after="0"/>
              <w:ind w:left="0" w:right="0" w:hanging="0"/>
              <w:contextualSpacing w:val="false"/>
              <w:jc w:val="left"/>
              <w:rPr>
                <w:rFonts w:ascii="Liberation Serif" w:hAnsi="Liberation Serif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Cs w:val="20"/>
                <w:lang w:eastAsia="ru-RU"/>
              </w:rPr>
              <w:t xml:space="preserve">2.2.1. 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Liberation Serif" w:hAnsi="Liberation Serif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Cs/>
                <w:sz w:val="24"/>
                <w:szCs w:val="24"/>
                <w:lang w:eastAsia="ru-RU"/>
              </w:rPr>
              <w:t>Порядок сдачи-приемки работ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ind w:left="0" w:right="0" w:firstLine="455"/>
              <w:rPr>
                <w:rFonts w:ascii="Liberation Serif" w:hAnsi="Liberation Serif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Cs/>
                <w:sz w:val="24"/>
                <w:szCs w:val="24"/>
                <w:lang w:eastAsia="ru-RU"/>
              </w:rPr>
              <w:t xml:space="preserve">Приемка выполненных работ осуществляется Заказчиком в соответствии с разделом 4. «Порядок сдачи-приёмки работ» проекта договора подряда. </w:t>
            </w:r>
          </w:p>
        </w:tc>
        <w:tc>
          <w:tcPr>
            <w:tcW w:w="297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0"/>
              </w:numPr>
              <w:suppressAutoHyphens w:val="true"/>
              <w:bidi w:val="0"/>
              <w:spacing w:lineRule="auto" w:line="240" w:before="60" w:after="0"/>
              <w:ind w:left="0" w:right="0" w:hanging="0"/>
              <w:contextualSpacing w:val="false"/>
              <w:jc w:val="left"/>
              <w:rPr>
                <w:rFonts w:ascii="Liberation Serif" w:hAnsi="Liberation Serif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Cs w:val="20"/>
                <w:lang w:eastAsia="ru-RU"/>
              </w:rPr>
              <w:t>2.3.</w:t>
            </w:r>
          </w:p>
        </w:tc>
        <w:tc>
          <w:tcPr>
            <w:tcW w:w="109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0"/>
              <w:rPr>
                <w:rFonts w:ascii="Liberation Serif" w:hAnsi="Liberation Serif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Требования к оформлению документации</w:t>
            </w:r>
          </w:p>
        </w:tc>
        <w:tc>
          <w:tcPr>
            <w:tcW w:w="297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suppressAutoHyphens w:val="true"/>
              <w:spacing w:lineRule="auto" w:line="240" w:before="60" w:after="0"/>
              <w:ind w:left="1214" w:right="0" w:hanging="0"/>
              <w:contextualSpacing w:val="false"/>
              <w:rPr>
                <w:rFonts w:ascii="Liberation Serif" w:hAnsi="Liberation Serif"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Cs w:val="20"/>
                <w:lang w:eastAsia="ru-RU"/>
              </w:rPr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bidi w:val="0"/>
              <w:spacing w:before="0" w:after="0"/>
              <w:jc w:val="left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Требования к составу передаваемой  исполнительной технической документации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0" w:right="0" w:firstLine="455"/>
              <w:jc w:val="both"/>
              <w:rPr/>
            </w:pPr>
            <w:r>
              <w:rPr>
                <w:rFonts w:cs="Times New Roman" w:ascii="Liberation Serif" w:hAnsi="Liberation Serif"/>
                <w:sz w:val="24"/>
                <w:szCs w:val="24"/>
                <w:lang w:eastAsia="ru-RU"/>
              </w:rPr>
              <w:t xml:space="preserve"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полном объеме в соответствии с требованиями нормативных документов, а именно </w:t>
            </w:r>
            <w:r>
              <w:rPr>
                <w:rStyle w:val="Strong"/>
                <w:rFonts w:eastAsia="Calibri" w:cs="Times New Roman" w:ascii="Liberation Serif" w:hAnsi="Liberation Serif"/>
                <w:b w:val="false"/>
                <w:sz w:val="24"/>
                <w:szCs w:val="24"/>
                <w:lang w:eastAsia="ru-RU"/>
              </w:rPr>
              <w:t>РД 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      </w:r>
            <w:r>
              <w:rPr>
                <w:rFonts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, </w:t>
            </w:r>
            <w:r>
              <w:rPr>
                <w:rStyle w:val="Strong"/>
                <w:rFonts w:eastAsia="Calibri" w:cs="Times New Roman" w:ascii="Liberation Serif" w:hAnsi="Liberation Serif"/>
                <w:b w:val="false"/>
                <w:sz w:val="24"/>
                <w:szCs w:val="24"/>
                <w:lang w:eastAsia="ru-RU"/>
              </w:rPr>
              <w:t>РД 11-05-2007</w:t>
            </w:r>
            <w:r>
              <w:rPr>
                <w:rFonts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 «</w:t>
            </w:r>
            <w:r>
              <w:rPr>
                <w:rStyle w:val="Strong"/>
                <w:rFonts w:eastAsia="Calibri" w:cs="Times New Roman" w:ascii="Liberation Serif" w:hAnsi="Liberation Serif"/>
                <w:b w:val="false"/>
                <w:sz w:val="24"/>
                <w:szCs w:val="24"/>
                <w:lang w:eastAsia="ru-RU"/>
              </w:rPr>
              <w:t>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строительства», ГОСТ Р 51872-2019 «Документация исполнительная геодезическая. Правила выполнения», СП 70.13330.2012, И1.13-07</w:t>
            </w:r>
            <w:r>
              <w:rPr>
                <w:rFonts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 «</w:t>
            </w:r>
            <w:r>
              <w:rPr>
                <w:rStyle w:val="Strong"/>
                <w:rFonts w:eastAsia="Calibri" w:cs="Times New Roman" w:ascii="Liberation Serif" w:hAnsi="Liberation Serif"/>
                <w:b w:val="false"/>
                <w:sz w:val="24"/>
                <w:szCs w:val="24"/>
                <w:lang w:eastAsia="ru-RU"/>
              </w:rPr>
              <w:t>Инструкция по оформлению приемо-сдаточной документации по электромонтажным работам», СП 76.13330.2016 «Электротехнические устройства».</w:t>
            </w:r>
            <w:r>
              <w:rPr>
                <w:rFonts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Liberation Serif" w:hAnsi="Liberation Serif"/>
                <w:sz w:val="24"/>
                <w:szCs w:val="24"/>
                <w:lang w:eastAsia="ru-RU"/>
              </w:rPr>
              <w:t>Приемка оборудования в эксплуатацию осуществляется в соответствии с требованиями гл.1 § 1.2. «Правил технической эксплуатации электрических станций и сетей РФ», утв. 2003 г. приемо-сдаточная документация оформляется в соответствии с требованиями ВСН 123-90 «Инструкция по оформлению приемо-сдаточной документации по электромонтажным работам».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Liberation Serif" w:hAnsi="Liberation Serif"/>
                <w:sz w:val="24"/>
                <w:szCs w:val="24"/>
                <w:lang w:eastAsia="ru-RU"/>
              </w:rPr>
              <w:t>Подрядчик предоставляет отдельные акты выполненных работ (оформленные по форме КС-2) по отдельным объектам. Фактическое выполнение подтверждается фотоотчетом.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Liberation Serif" w:hAnsi="Liberation Serif"/>
                <w:sz w:val="24"/>
                <w:szCs w:val="24"/>
                <w:lang w:eastAsia="ru-RU"/>
              </w:rPr>
              <w:t>Приемка выполненных строительно-монтажных работ осуществляется строго после сдачи выполненных по факту приемки исполнительной документации с Заказчиком.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cs="Liberation Serif;Times New Roman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>Вместе с актами выполненных работ Заказчик передает исполнительную документацию в следующем кратком объеме:</w:t>
            </w:r>
          </w:p>
          <w:p>
            <w:pPr>
              <w:pStyle w:val="Style45"/>
              <w:numPr>
                <w:ilvl w:val="1"/>
                <w:numId w:val="8"/>
              </w:numPr>
              <w:tabs>
                <w:tab w:val="clear" w:pos="708"/>
                <w:tab w:val="left" w:pos="749" w:leader="none"/>
                <w:tab w:val="left" w:pos="993" w:leader="none"/>
                <w:tab w:val="left" w:pos="2167" w:leader="none"/>
              </w:tabs>
              <w:bidi w:val="0"/>
              <w:spacing w:before="0" w:after="0"/>
              <w:ind w:left="40" w:right="0" w:firstLine="567"/>
              <w:jc w:val="both"/>
              <w:rPr>
                <w:rFonts w:ascii="Liberation Serif" w:hAnsi="Liberation Serif" w:cs="Liberation Serif;Times New Roman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Акт приемки законченного строительства;</w:t>
            </w:r>
          </w:p>
          <w:p>
            <w:pPr>
              <w:pStyle w:val="Style45"/>
              <w:numPr>
                <w:ilvl w:val="1"/>
                <w:numId w:val="8"/>
              </w:numPr>
              <w:tabs>
                <w:tab w:val="clear" w:pos="708"/>
                <w:tab w:val="left" w:pos="749" w:leader="none"/>
                <w:tab w:val="left" w:pos="993" w:leader="none"/>
                <w:tab w:val="left" w:pos="2167" w:leader="none"/>
              </w:tabs>
              <w:bidi w:val="0"/>
              <w:spacing w:before="0" w:after="0"/>
              <w:ind w:left="40" w:right="0" w:firstLine="567"/>
              <w:jc w:val="both"/>
              <w:rPr>
                <w:rFonts w:ascii="Liberation Serif" w:hAnsi="Liberation Serif" w:cs="Liberation Serif;Times New Roman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Акт технической готовности электромонтажных работ;</w:t>
              <w:tab/>
              <w:tab/>
            </w:r>
          </w:p>
          <w:p>
            <w:pPr>
              <w:pStyle w:val="Style45"/>
              <w:numPr>
                <w:ilvl w:val="1"/>
                <w:numId w:val="8"/>
              </w:numPr>
              <w:tabs>
                <w:tab w:val="clear" w:pos="708"/>
                <w:tab w:val="left" w:pos="749" w:leader="none"/>
                <w:tab w:val="left" w:pos="993" w:leader="none"/>
                <w:tab w:val="left" w:pos="2167" w:leader="none"/>
              </w:tabs>
              <w:bidi w:val="0"/>
              <w:spacing w:before="0" w:after="0"/>
              <w:ind w:left="40" w:right="0" w:firstLine="567"/>
              <w:jc w:val="both"/>
              <w:rPr>
                <w:rFonts w:ascii="Liberation Serif" w:hAnsi="Liberation Serif" w:cs="Liberation Serif;Times New Roman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Акт освидетельствования скрытых работ с исполнительной схемой;</w:t>
            </w:r>
          </w:p>
          <w:p>
            <w:pPr>
              <w:pStyle w:val="Style45"/>
              <w:numPr>
                <w:ilvl w:val="1"/>
                <w:numId w:val="8"/>
              </w:numPr>
              <w:tabs>
                <w:tab w:val="clear" w:pos="708"/>
                <w:tab w:val="left" w:pos="709" w:leader="none"/>
                <w:tab w:val="left" w:pos="953" w:leader="none"/>
                <w:tab w:val="left" w:pos="2127" w:leader="none"/>
              </w:tabs>
              <w:bidi w:val="0"/>
              <w:spacing w:before="0" w:after="0"/>
              <w:ind w:left="40" w:right="0" w:firstLine="567"/>
              <w:jc w:val="both"/>
              <w:rPr>
                <w:rFonts w:ascii="Liberation Serif" w:hAnsi="Liberation Serif" w:cs="Liberation Serif;Times New Roman"/>
                <w:sz w:val="24"/>
                <w:szCs w:val="24"/>
                <w:shd w:fill="auto" w:val="clear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cs="Liberation Serif;Times New Roman" w:ascii="Liberation Serif" w:hAnsi="Liberation Serif"/>
                <w:sz w:val="24"/>
                <w:szCs w:val="24"/>
                <w:shd w:fill="auto" w:val="clear"/>
              </w:rPr>
              <w:t>Акт ответственных конструкций с исполнительной схемой;</w:t>
            </w:r>
          </w:p>
          <w:p>
            <w:pPr>
              <w:pStyle w:val="Style45"/>
              <w:numPr>
                <w:ilvl w:val="1"/>
                <w:numId w:val="8"/>
              </w:numPr>
              <w:tabs>
                <w:tab w:val="clear" w:pos="708"/>
                <w:tab w:val="left" w:pos="709" w:leader="none"/>
                <w:tab w:val="left" w:pos="953" w:leader="none"/>
                <w:tab w:val="left" w:pos="2127" w:leader="none"/>
              </w:tabs>
              <w:bidi w:val="0"/>
              <w:spacing w:before="0" w:after="0"/>
              <w:ind w:left="40" w:right="0" w:firstLine="567"/>
              <w:jc w:val="both"/>
              <w:rPr>
                <w:rFonts w:ascii="Liberation Serif" w:hAnsi="Liberation Serif" w:cs="Liberation Serif;Times New Roman"/>
                <w:sz w:val="24"/>
                <w:szCs w:val="24"/>
                <w:shd w:fill="auto" w:val="clear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cs="Liberation Serif;Times New Roman" w:ascii="Liberation Serif" w:hAnsi="Liberation Serif"/>
                <w:sz w:val="24"/>
                <w:szCs w:val="24"/>
                <w:shd w:fill="auto" w:val="clear"/>
              </w:rPr>
              <w:t>Акт освидетельствования участков сетей инженерно-технического обеспечения сетей;</w:t>
            </w:r>
          </w:p>
          <w:p>
            <w:pPr>
              <w:pStyle w:val="Style45"/>
              <w:numPr>
                <w:ilvl w:val="1"/>
                <w:numId w:val="8"/>
              </w:numPr>
              <w:tabs>
                <w:tab w:val="clear" w:pos="708"/>
                <w:tab w:val="left" w:pos="749" w:leader="none"/>
                <w:tab w:val="left" w:pos="993" w:leader="none"/>
                <w:tab w:val="left" w:pos="2167" w:leader="none"/>
              </w:tabs>
              <w:bidi w:val="0"/>
              <w:spacing w:before="0" w:after="0"/>
              <w:ind w:left="40" w:right="0" w:firstLine="567"/>
              <w:jc w:val="both"/>
              <w:rPr>
                <w:rFonts w:ascii="Liberation Serif" w:hAnsi="Liberation Serif" w:cs="Liberation Serif;Times New Roman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Паспорта и сертификаты на примененные материалы, изделия, оборудование;</w:t>
            </w:r>
          </w:p>
          <w:p>
            <w:pPr>
              <w:pStyle w:val="Style45"/>
              <w:numPr>
                <w:ilvl w:val="1"/>
                <w:numId w:val="8"/>
              </w:numPr>
              <w:tabs>
                <w:tab w:val="clear" w:pos="708"/>
                <w:tab w:val="left" w:pos="749" w:leader="none"/>
                <w:tab w:val="left" w:pos="993" w:leader="none"/>
                <w:tab w:val="left" w:pos="2167" w:leader="none"/>
              </w:tabs>
              <w:bidi w:val="0"/>
              <w:spacing w:before="0" w:after="0"/>
              <w:ind w:left="40" w:right="0" w:firstLine="567"/>
              <w:jc w:val="both"/>
              <w:rPr>
                <w:rFonts w:ascii="Liberation Serif" w:hAnsi="Liberation Serif" w:cs="Liberation Serif;Times New Roman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Справка об устранении выявленных замечаний (при наличии);</w:t>
            </w:r>
          </w:p>
          <w:p>
            <w:pPr>
              <w:pStyle w:val="Style45"/>
              <w:numPr>
                <w:ilvl w:val="1"/>
                <w:numId w:val="8"/>
              </w:numPr>
              <w:tabs>
                <w:tab w:val="clear" w:pos="708"/>
                <w:tab w:val="left" w:pos="749" w:leader="none"/>
                <w:tab w:val="left" w:pos="993" w:leader="none"/>
                <w:tab w:val="left" w:pos="2167" w:leader="none"/>
              </w:tabs>
              <w:bidi w:val="0"/>
              <w:spacing w:before="0" w:after="0"/>
              <w:ind w:left="40" w:right="0" w:firstLine="567"/>
              <w:jc w:val="both"/>
              <w:rPr>
                <w:rFonts w:ascii="Liberation Serif" w:hAnsi="Liberation Serif" w:cs="Liberation Serif;Times New Roman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Ордер на производство работ.</w:t>
              <w:tab/>
            </w:r>
          </w:p>
          <w:p>
            <w:pPr>
              <w:pStyle w:val="Style45"/>
              <w:numPr>
                <w:ilvl w:val="1"/>
                <w:numId w:val="8"/>
              </w:numPr>
              <w:tabs>
                <w:tab w:val="clear" w:pos="708"/>
                <w:tab w:val="left" w:pos="749" w:leader="none"/>
                <w:tab w:val="left" w:pos="993" w:leader="none"/>
                <w:tab w:val="left" w:pos="2167" w:leader="none"/>
              </w:tabs>
              <w:bidi w:val="0"/>
              <w:spacing w:before="0" w:after="0"/>
              <w:ind w:left="40" w:right="0" w:firstLine="567"/>
              <w:jc w:val="both"/>
              <w:rPr>
                <w:rFonts w:ascii="Liberation Serif" w:hAnsi="Liberation Serif" w:cs="Liberation Serif;Times New Roman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>
            <w:pPr>
              <w:pStyle w:val="Style45"/>
              <w:numPr>
                <w:ilvl w:val="1"/>
                <w:numId w:val="8"/>
              </w:numPr>
              <w:tabs>
                <w:tab w:val="clear" w:pos="708"/>
                <w:tab w:val="left" w:pos="709" w:leader="none"/>
                <w:tab w:val="left" w:pos="953" w:leader="none"/>
                <w:tab w:val="left" w:pos="2127" w:leader="none"/>
              </w:tabs>
              <w:bidi w:val="0"/>
              <w:spacing w:before="0" w:after="0"/>
              <w:ind w:left="40" w:right="0" w:firstLine="567"/>
              <w:jc w:val="both"/>
              <w:rPr>
                <w:rFonts w:ascii="Liberation Serif" w:hAnsi="Liberation Serif" w:cs="Liberation Serif;Times New Roman"/>
                <w:sz w:val="24"/>
                <w:szCs w:val="24"/>
                <w:shd w:fill="auto" w:val="clear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cs="Liberation Serif;Times New Roman" w:ascii="Liberation Serif" w:hAnsi="Liberation Serif"/>
                <w:sz w:val="24"/>
                <w:szCs w:val="24"/>
                <w:shd w:fill="auto" w:val="clear"/>
              </w:rPr>
              <w:t xml:space="preserve">Кабельный журнал (согласно инструкции И1-13, при переустройстве в кабельную линию); </w:t>
            </w:r>
          </w:p>
          <w:p>
            <w:pPr>
              <w:pStyle w:val="Style45"/>
              <w:numPr>
                <w:ilvl w:val="1"/>
                <w:numId w:val="8"/>
              </w:numPr>
              <w:tabs>
                <w:tab w:val="clear" w:pos="708"/>
                <w:tab w:val="left" w:pos="709" w:leader="none"/>
                <w:tab w:val="left" w:pos="953" w:leader="none"/>
                <w:tab w:val="left" w:pos="2127" w:leader="none"/>
              </w:tabs>
              <w:bidi w:val="0"/>
              <w:spacing w:before="0" w:after="0"/>
              <w:ind w:left="40" w:right="0" w:firstLine="567"/>
              <w:jc w:val="both"/>
              <w:rPr>
                <w:rFonts w:ascii="Liberation Serif" w:hAnsi="Liberation Serif" w:cs="Liberation Serif;Times New Roman"/>
                <w:sz w:val="24"/>
                <w:szCs w:val="24"/>
                <w:shd w:fill="auto" w:val="clear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cs="Liberation Serif;Times New Roman" w:ascii="Liberation Serif" w:hAnsi="Liberation Serif"/>
                <w:sz w:val="24"/>
                <w:szCs w:val="24"/>
                <w:shd w:fill="auto" w:val="clear"/>
              </w:rPr>
              <w:t xml:space="preserve">Специальные журналы; </w:t>
            </w:r>
          </w:p>
          <w:p>
            <w:pPr>
              <w:pStyle w:val="Style45"/>
              <w:numPr>
                <w:ilvl w:val="1"/>
                <w:numId w:val="8"/>
              </w:numPr>
              <w:tabs>
                <w:tab w:val="clear" w:pos="708"/>
                <w:tab w:val="left" w:pos="709" w:leader="none"/>
                <w:tab w:val="left" w:pos="953" w:leader="none"/>
                <w:tab w:val="left" w:pos="2127" w:leader="none"/>
              </w:tabs>
              <w:bidi w:val="0"/>
              <w:spacing w:before="0" w:after="0"/>
              <w:ind w:left="40" w:right="0" w:firstLine="567"/>
              <w:jc w:val="both"/>
              <w:rPr>
                <w:rFonts w:ascii="Liberation Serif" w:hAnsi="Liberation Serif" w:cs="Liberation Serif;Times New Roman"/>
                <w:sz w:val="24"/>
                <w:szCs w:val="24"/>
                <w:shd w:fill="auto" w:val="clear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cs="Liberation Serif;Times New Roman" w:ascii="Liberation Serif" w:hAnsi="Liberation Serif"/>
                <w:sz w:val="24"/>
                <w:szCs w:val="24"/>
                <w:shd w:fill="auto" w:val="clear"/>
              </w:rPr>
              <w:t>Журнал входного контроля качества;</w:t>
            </w:r>
          </w:p>
          <w:p>
            <w:pPr>
              <w:pStyle w:val="Style45"/>
              <w:numPr>
                <w:ilvl w:val="1"/>
                <w:numId w:val="8"/>
              </w:numPr>
              <w:tabs>
                <w:tab w:val="clear" w:pos="708"/>
                <w:tab w:val="left" w:pos="749" w:leader="none"/>
                <w:tab w:val="left" w:pos="993" w:leader="none"/>
                <w:tab w:val="left" w:pos="2167" w:leader="none"/>
              </w:tabs>
              <w:bidi w:val="0"/>
              <w:spacing w:before="0" w:after="0"/>
              <w:ind w:left="40" w:right="0" w:firstLine="567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cs="Liberation Serif;Times New Roman" w:ascii="Liberation Serif" w:hAnsi="Liberation Serif"/>
                <w:sz w:val="24"/>
                <w:szCs w:val="24"/>
                <w:shd w:fill="auto" w:val="clear"/>
              </w:rPr>
              <w:t>Журнал учёта выполненных работ (форм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>
            <w:pPr>
              <w:pStyle w:val="Style45"/>
              <w:numPr>
                <w:ilvl w:val="0"/>
                <w:numId w:val="8"/>
              </w:numPr>
              <w:tabs>
                <w:tab w:val="clear" w:pos="708"/>
                <w:tab w:val="left" w:pos="607" w:leader="none"/>
                <w:tab w:val="left" w:pos="851" w:leader="none"/>
                <w:tab w:val="left" w:pos="993" w:leader="none"/>
                <w:tab w:val="left" w:pos="2167" w:leader="none"/>
              </w:tabs>
              <w:bidi w:val="0"/>
              <w:spacing w:before="0" w:after="0"/>
              <w:ind w:left="0" w:right="0" w:firstLine="457"/>
              <w:jc w:val="both"/>
              <w:rPr>
                <w:rFonts w:ascii="Liberation Serif" w:hAnsi="Liberation Serif" w:cs="Liberation Serif;Times New Roman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cs="Liberation Serif;Times New Roman" w:ascii="Liberation Serif" w:hAnsi="Liberation Serif"/>
                <w:sz w:val="24"/>
                <w:szCs w:val="24"/>
              </w:rPr>
              <w:t>Формы журналов должны соответствовать типовым межотраслевым формам № КС-6 и № КС-6А, утверждённым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</w:tc>
        <w:tc>
          <w:tcPr>
            <w:tcW w:w="297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0"/>
              <w:rPr>
                <w:rFonts w:ascii="Liberation Serif" w:hAnsi="Liberation Serif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both"/>
              <w:rPr>
                <w:rFonts w:ascii="Liberation Serif" w:hAnsi="Liberation Serif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Требования к ответственности и гарантиям подрядчика</w:t>
            </w:r>
          </w:p>
        </w:tc>
        <w:tc>
          <w:tcPr>
            <w:tcW w:w="297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0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Требования к ответственности  подрядчика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ind w:left="0" w:right="0" w:firstLine="455"/>
              <w:jc w:val="both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Определены условиями договора (в соответствии с пунктом 7 проекта договора)</w:t>
            </w:r>
          </w:p>
        </w:tc>
        <w:tc>
          <w:tcPr>
            <w:tcW w:w="297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0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При выполнении строительно-монтажных работ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60"/>
              <w:ind w:left="0" w:right="0" w:firstLine="455"/>
              <w:contextualSpacing/>
              <w:jc w:val="both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При выполнении строительно-монтажных работ Подрядчик обеспечивает: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0" w:leader="none"/>
                <w:tab w:val="left" w:pos="321" w:leader="none"/>
                <w:tab w:val="left" w:pos="1418" w:leader="none"/>
              </w:tabs>
              <w:suppressAutoHyphens w:val="true"/>
              <w:spacing w:lineRule="auto" w:line="240" w:before="0" w:after="60"/>
              <w:ind w:left="0" w:right="0" w:firstLine="38"/>
              <w:contextualSpacing/>
              <w:jc w:val="both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Строгое соблюдение требований, содержащихся в Техническом требовании к Договору, в СНиП, СП, СанПин, технических регламентах и иных документах, регламентирующих строительную деятельность.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0" w:leader="none"/>
                <w:tab w:val="left" w:pos="321" w:leader="none"/>
                <w:tab w:val="left" w:pos="1418" w:leader="none"/>
              </w:tabs>
              <w:suppressAutoHyphens w:val="true"/>
              <w:spacing w:lineRule="auto" w:line="240" w:before="0" w:after="60"/>
              <w:ind w:left="0" w:right="0" w:firstLine="38"/>
              <w:contextualSpacing/>
              <w:jc w:val="both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0" w:leader="none"/>
                <w:tab w:val="left" w:pos="321" w:leader="none"/>
                <w:tab w:val="left" w:pos="1418" w:leader="none"/>
              </w:tabs>
              <w:suppressAutoHyphens w:val="true"/>
              <w:spacing w:lineRule="auto" w:line="240" w:before="0" w:after="60"/>
              <w:ind w:left="0" w:right="0" w:firstLine="38"/>
              <w:contextualSpacing/>
              <w:jc w:val="both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0" w:leader="none"/>
                <w:tab w:val="left" w:pos="321" w:leader="none"/>
                <w:tab w:val="left" w:pos="1418" w:leader="none"/>
              </w:tabs>
              <w:suppressAutoHyphens w:val="true"/>
              <w:spacing w:lineRule="auto" w:line="240" w:before="0" w:after="60"/>
              <w:ind w:left="0" w:right="0" w:firstLine="38"/>
              <w:contextualSpacing/>
              <w:jc w:val="both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0" w:leader="none"/>
                <w:tab w:val="left" w:pos="321" w:leader="none"/>
                <w:tab w:val="left" w:pos="1418" w:leader="none"/>
              </w:tabs>
              <w:suppressAutoHyphens w:val="true"/>
              <w:spacing w:lineRule="auto" w:line="240" w:before="0" w:after="60"/>
              <w:ind w:left="0" w:right="0" w:firstLine="38"/>
              <w:contextualSpacing/>
              <w:jc w:val="both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соосности.</w:t>
            </w:r>
            <w:r>
              <w:rPr>
                <w:rFonts w:eastAsia="Times New Roman" w:cs="Times New Roman" w:ascii="Liberation Serif" w:hAnsi="Liberation Serif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  <w:iCs/>
                <w:sz w:val="24"/>
                <w:szCs w:val="24"/>
                <w:lang w:eastAsia="ru-RU"/>
              </w:rPr>
              <w:t>Допущенные ошибки в производстве этих работ Подрядчик исправляет за свой счет.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tabs>
                <w:tab w:val="clear" w:pos="708"/>
                <w:tab w:val="left" w:pos="0" w:leader="none"/>
                <w:tab w:val="left" w:pos="321" w:leader="none"/>
                <w:tab w:val="left" w:pos="1418" w:leader="none"/>
              </w:tabs>
              <w:suppressAutoHyphens w:val="true"/>
              <w:spacing w:lineRule="auto" w:line="240" w:before="0" w:after="60"/>
              <w:ind w:left="0" w:right="0" w:firstLine="38"/>
              <w:contextualSpacing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Доставку строительной техники к месту производства работ, расположенного Республика Саха (Якутия), 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Нерюнгринский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 район, 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п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г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т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Беркакит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Liberation Serif" w:hAnsi="Liberation Serif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Liberation Serif" w:hAnsi="Liberation Serif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sz w:val="24"/>
                <w:szCs w:val="24"/>
                <w:lang w:eastAsia="ru-RU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297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554" w:hRule="atLeast"/>
        </w:trPr>
        <w:tc>
          <w:tcPr>
            <w:tcW w:w="10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 xml:space="preserve">Требования к объему и виду работ, которые могут быть выполнены в рамках договоров субподряда  </w:t>
            </w:r>
          </w:p>
        </w:tc>
        <w:tc>
          <w:tcPr>
            <w:tcW w:w="8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ind w:left="0" w:right="0" w:firstLine="456"/>
              <w:jc w:val="both"/>
              <w:rPr>
                <w:rFonts w:ascii="Liberation Serif" w:hAnsi="Liberation Serif" w:eastAsia="Times New Roman" w:cs="Times New Roman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Cs/>
                <w:sz w:val="24"/>
                <w:szCs w:val="24"/>
                <w:lang w:eastAsia="ru-RU"/>
              </w:rPr>
              <w:t xml:space="preserve">Порядок согласования субподрядных организаций определен условиями договора </w:t>
            </w: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(в соответствии с пунктом 2.4 проекта договора)</w:t>
            </w:r>
          </w:p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</w:r>
          </w:p>
        </w:tc>
        <w:tc>
          <w:tcPr>
            <w:tcW w:w="297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17" w:hRule="atLeast"/>
        </w:trPr>
        <w:tc>
          <w:tcPr>
            <w:tcW w:w="10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13946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pacing w:before="0" w:after="1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Прочие требования к выполняемым работам</w:t>
            </w:r>
          </w:p>
        </w:tc>
      </w:tr>
      <w:tr>
        <w:trPr>
          <w:trHeight w:val="1554" w:hRule="atLeast"/>
        </w:trPr>
        <w:tc>
          <w:tcPr>
            <w:tcW w:w="107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Liberation Serif" w:hAnsi="Liberation Serif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46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rPr>
                <w:rFonts w:ascii="Liberation Serif" w:hAnsi="Liberation Serif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Liberation Serif" w:hAnsi="Liberation Serif"/>
                <w:sz w:val="24"/>
                <w:szCs w:val="24"/>
                <w:lang w:eastAsia="ru-RU"/>
              </w:rPr>
              <w:t>Особые условия</w:t>
            </w:r>
          </w:p>
        </w:tc>
        <w:tc>
          <w:tcPr>
            <w:tcW w:w="85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uppressAutoHyphens w:val="true"/>
              <w:spacing w:before="0" w:after="0"/>
              <w:ind w:left="0" w:right="0" w:firstLine="309"/>
              <w:contextualSpacing w:val="false"/>
              <w:jc w:val="both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Строительно-монтажные работы выполнять на основании разрешительных документов на земельные участки (предоставляются Заказчиком в рамках заключенного с Участником договора подряда);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288"/>
                <w:tab w:val="left" w:pos="598" w:leader="none"/>
              </w:tabs>
              <w:suppressAutoHyphens w:val="true"/>
              <w:spacing w:before="0" w:after="0"/>
              <w:ind w:left="0" w:right="0" w:firstLine="315"/>
              <w:contextualSpacing w:val="false"/>
              <w:jc w:val="both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Подрядчик самостоятельно получает от лица Заказчика все необходимые согласования для возможности производства работ, все затраты на получение необходимых согласований и компенсационных выплат входят в общую стоимость объекта реконструкции;</w:t>
            </w:r>
          </w:p>
        </w:tc>
        <w:tc>
          <w:tcPr>
            <w:tcW w:w="29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FFFFFF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sectPr>
          <w:headerReference w:type="default" r:id="rId5"/>
          <w:headerReference w:type="first" r:id="rId6"/>
          <w:footerReference w:type="default" r:id="rId7"/>
          <w:footerReference w:type="first" r:id="rId8"/>
          <w:type w:val="nextPage"/>
          <w:pgSz w:orient="landscape" w:w="16838" w:h="11906"/>
          <w:pgMar w:left="993" w:right="536" w:gutter="0" w:header="142" w:top="1135" w:footer="0" w:bottom="1276"/>
          <w:pgNumType w:fmt="decimal"/>
          <w:formProt w:val="false"/>
          <w:textDirection w:val="lrTb"/>
          <w:docGrid w:type="default" w:linePitch="360" w:charSpace="4294961151"/>
        </w:sectPr>
        <w:pStyle w:val="Normal"/>
        <w:spacing w:before="0" w:after="120"/>
        <w:jc w:val="both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widowControl/>
        <w:numPr>
          <w:ilvl w:val="0"/>
          <w:numId w:val="9"/>
        </w:numPr>
        <w:tabs>
          <w:tab w:val="clear" w:pos="708"/>
          <w:tab w:val="left" w:pos="288" w:leader="none"/>
        </w:tabs>
        <w:suppressAutoHyphens w:val="true"/>
        <w:bidi w:val="0"/>
        <w:spacing w:lineRule="auto" w:line="240" w:before="0" w:after="0"/>
        <w:ind w:left="0" w:right="0" w:hanging="0"/>
        <w:jc w:val="center"/>
        <w:rPr>
          <w:rFonts w:ascii="Liberation Serif" w:hAnsi="Liberation Serif"/>
          <w:b/>
          <w:bCs/>
          <w:sz w:val="26"/>
          <w:szCs w:val="26"/>
        </w:rPr>
      </w:pPr>
      <w:r>
        <w:rPr>
          <w:rFonts w:ascii="Liberation Serif" w:hAnsi="Liberation Serif"/>
          <w:b/>
          <w:bCs/>
          <w:sz w:val="26"/>
          <w:szCs w:val="26"/>
        </w:rPr>
        <w:t>Требования к документации по ценообразованию на этапе закупки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Liberation Serif" w:hAnsi="Liberation Serif"/>
          <w:b/>
          <w:bCs/>
          <w:sz w:val="26"/>
          <w:szCs w:val="26"/>
        </w:rPr>
      </w:pPr>
      <w:r>
        <w:rPr>
          <w:rFonts w:ascii="Liberation Serif" w:hAnsi="Liberation Serif"/>
          <w:b/>
          <w:bCs/>
          <w:sz w:val="26"/>
          <w:szCs w:val="26"/>
        </w:rPr>
      </w:r>
    </w:p>
    <w:p>
      <w:pPr>
        <w:pStyle w:val="Normal"/>
        <w:widowControl/>
        <w:numPr>
          <w:ilvl w:val="1"/>
          <w:numId w:val="9"/>
        </w:numPr>
        <w:tabs>
          <w:tab w:val="clear" w:pos="708"/>
          <w:tab w:val="left" w:pos="681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Liberation Serif" w:hAnsi="Liberation Serif"/>
          <w:b w:val="false"/>
          <w:bCs w:val="false"/>
          <w:sz w:val="24"/>
          <w:szCs w:val="24"/>
        </w:rPr>
      </w:pPr>
      <w:r>
        <w:rPr>
          <w:rFonts w:ascii="Liberation Serif" w:hAnsi="Liberation Serif"/>
          <w:b w:val="false"/>
          <w:bCs w:val="false"/>
          <w:sz w:val="24"/>
          <w:szCs w:val="24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Normal"/>
        <w:widowControl/>
        <w:numPr>
          <w:ilvl w:val="1"/>
          <w:numId w:val="9"/>
        </w:numPr>
        <w:tabs>
          <w:tab w:val="clear" w:pos="708"/>
          <w:tab w:val="left" w:pos="681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Liberation Serif" w:hAnsi="Liberation Serif" w:cs="Times New Roman"/>
          <w:iCs/>
          <w:sz w:val="24"/>
          <w:szCs w:val="24"/>
          <w:lang w:val="x-none" w:eastAsia="x-none"/>
        </w:rPr>
      </w:pPr>
      <w:r>
        <w:rPr>
          <w:rFonts w:cs="Times New Roman" w:ascii="Liberation Serif" w:hAnsi="Liberation Serif"/>
          <w:iCs/>
          <w:sz w:val="24"/>
          <w:szCs w:val="24"/>
          <w:lang w:val="x-none" w:eastAsia="x-none"/>
        </w:rPr>
        <w:t>Дополнительные документы по ценообразованию (сметная документация) в состав заявки Участника не включаются.</w:t>
      </w:r>
      <w:bookmarkStart w:id="14" w:name="_Toc54646412"/>
    </w:p>
    <w:p>
      <w:pPr>
        <w:pStyle w:val="Normal"/>
        <w:tabs>
          <w:tab w:val="clear" w:pos="708"/>
          <w:tab w:val="left" w:pos="993" w:leader="none"/>
        </w:tabs>
        <w:jc w:val="both"/>
        <w:rPr>
          <w:rFonts w:ascii="Liberation Serif" w:hAnsi="Liberation Serif" w:eastAsia="Calibri"/>
          <w:iCs/>
          <w:lang w:val="x-none" w:eastAsia="x-none"/>
        </w:rPr>
      </w:pPr>
      <w:r>
        <w:rPr>
          <w:rFonts w:eastAsia="Calibri" w:ascii="Liberation Serif" w:hAnsi="Liberation Serif"/>
          <w:iCs/>
          <w:lang w:val="x-none" w:eastAsia="x-none"/>
        </w:rPr>
      </w:r>
    </w:p>
    <w:p>
      <w:pPr>
        <w:pStyle w:val="ListParagraph"/>
        <w:numPr>
          <w:ilvl w:val="0"/>
          <w:numId w:val="9"/>
        </w:numPr>
        <w:tabs>
          <w:tab w:val="clear" w:pos="288"/>
          <w:tab w:val="left" w:pos="284" w:leader="none"/>
        </w:tabs>
        <w:ind w:left="0" w:right="0" w:hanging="0"/>
        <w:jc w:val="center"/>
        <w:rPr>
          <w:rFonts w:ascii="Liberation Serif" w:hAnsi="Liberation Serif" w:cs="Times New Roman"/>
          <w:b/>
          <w:sz w:val="26"/>
          <w:szCs w:val="26"/>
        </w:rPr>
      </w:pPr>
      <w:r>
        <w:rPr>
          <w:rFonts w:cs="Times New Roman" w:ascii="Liberation Serif" w:hAnsi="Liberation Serif"/>
          <w:b/>
          <w:sz w:val="26"/>
          <w:szCs w:val="26"/>
        </w:rPr>
        <w:t>Требования к документации по ценообразованию на этапе заключения (исполнения) договора</w:t>
      </w:r>
      <w:bookmarkEnd w:id="14"/>
    </w:p>
    <w:p>
      <w:pPr>
        <w:pStyle w:val="ListParagraph"/>
        <w:numPr>
          <w:ilvl w:val="0"/>
          <w:numId w:val="0"/>
        </w:numPr>
        <w:tabs>
          <w:tab w:val="clear" w:pos="288"/>
          <w:tab w:val="left" w:pos="284" w:leader="none"/>
        </w:tabs>
        <w:ind w:left="0" w:right="0" w:hanging="0"/>
        <w:jc w:val="center"/>
        <w:rPr>
          <w:rFonts w:ascii="Liberation Serif" w:hAnsi="Liberation Serif" w:cs="Times New Roman"/>
          <w:b/>
          <w:sz w:val="26"/>
          <w:szCs w:val="26"/>
        </w:rPr>
      </w:pPr>
      <w:r>
        <w:rPr>
          <w:rFonts w:cs="Times New Roman" w:ascii="Liberation Serif" w:hAnsi="Liberation Serif"/>
          <w:b/>
          <w:sz w:val="26"/>
          <w:szCs w:val="26"/>
        </w:rPr>
      </w:r>
    </w:p>
    <w:p>
      <w:pPr>
        <w:pStyle w:val="Normal"/>
        <w:widowControl/>
        <w:numPr>
          <w:ilvl w:val="1"/>
          <w:numId w:val="9"/>
        </w:numPr>
        <w:tabs>
          <w:tab w:val="clear" w:pos="708"/>
          <w:tab w:val="left" w:pos="681" w:leader="none"/>
        </w:tabs>
        <w:suppressAutoHyphens w:val="false"/>
        <w:bidi w:val="0"/>
        <w:spacing w:lineRule="auto" w:line="240" w:before="0" w:after="120"/>
        <w:ind w:left="0" w:right="0" w:hanging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Cs/>
          <w:sz w:val="24"/>
          <w:szCs w:val="24"/>
          <w:lang w:eastAsia="x-none"/>
        </w:rPr>
        <w:t xml:space="preserve">По результатам настоящей закупки заключается договор с </w:t>
      </w:r>
      <w:r>
        <w:rPr>
          <w:rFonts w:ascii="Liberation Serif" w:hAnsi="Liberation Serif"/>
          <w:iCs/>
          <w:sz w:val="24"/>
          <w:szCs w:val="24"/>
          <w:lang w:eastAsia="x-none"/>
        </w:rPr>
        <w:t>предельной</w:t>
      </w:r>
      <w:r>
        <w:rPr>
          <w:rFonts w:ascii="Liberation Serif" w:hAnsi="Liberation Serif"/>
          <w:iCs/>
          <w:sz w:val="24"/>
          <w:szCs w:val="24"/>
          <w:lang w:eastAsia="x-none"/>
        </w:rPr>
        <w:t xml:space="preserve"> ценой, путем применения к разработанному заказчиком Сводному сметному расчету (в целях обоснования начальной (максимальной) цены договора) </w:t>
      </w:r>
      <w:r>
        <w:rPr>
          <w:rFonts w:ascii="Liberation Serif" w:hAnsi="Liberation Serif"/>
          <w:iCs/>
          <w:sz w:val="24"/>
          <w:szCs w:val="24"/>
          <w:lang w:eastAsia="x-none"/>
        </w:rPr>
        <w:t>(</w:t>
      </w:r>
      <w:r>
        <w:rPr>
          <w:rFonts w:ascii="Liberation Serif" w:hAnsi="Liberation Serif"/>
          <w:i/>
          <w:iCs/>
          <w:sz w:val="24"/>
          <w:szCs w:val="24"/>
          <w:lang w:eastAsia="x-none"/>
        </w:rPr>
        <w:t>Приложение 5 к ТЗ</w:t>
      </w:r>
      <w:r>
        <w:rPr>
          <w:rFonts w:ascii="Liberation Serif" w:hAnsi="Liberation Serif"/>
          <w:iCs/>
          <w:sz w:val="24"/>
          <w:szCs w:val="24"/>
          <w:lang w:eastAsia="x-none"/>
        </w:rPr>
        <w:t xml:space="preserve">) </w:t>
      </w:r>
      <w:r>
        <w:rPr>
          <w:rFonts w:ascii="Liberation Serif" w:hAnsi="Liberation Serif"/>
          <w:iCs/>
          <w:sz w:val="24"/>
          <w:szCs w:val="24"/>
          <w:lang w:eastAsia="x-none"/>
        </w:rPr>
        <w:t>понижающего коэффициента</w:t>
      </w:r>
      <w:r>
        <w:rPr>
          <w:rFonts w:ascii="Liberation Serif" w:hAnsi="Liberation Serif"/>
          <w:bCs/>
          <w:iCs/>
          <w:sz w:val="24"/>
          <w:szCs w:val="24"/>
          <w:lang w:eastAsia="x-none"/>
        </w:rPr>
        <w:t>. Указанный коэффициент начисляется в Сводном сметном расчете к итогу</w:t>
      </w:r>
      <w:r>
        <w:rPr>
          <w:rFonts w:ascii="Liberation Serif" w:hAnsi="Liberation Serif"/>
          <w:iCs/>
          <w:sz w:val="24"/>
          <w:szCs w:val="24"/>
          <w:lang w:eastAsia="x-none"/>
        </w:rPr>
        <w:t>.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738" w:leader="none"/>
        </w:tabs>
        <w:suppressAutoHyphens w:val="false"/>
        <w:bidi w:val="0"/>
        <w:spacing w:lineRule="auto" w:line="240" w:before="0" w:after="120"/>
        <w:ind w:left="737" w:right="0" w:hanging="0"/>
        <w:jc w:val="both"/>
        <w:rPr>
          <w:rFonts w:ascii="Liberation Serif" w:hAnsi="Liberation Serif" w:eastAsia="Calibri" w:cs="Times New Roman"/>
          <w:b w:val="false"/>
          <w:bCs w:val="false"/>
          <w:iCs/>
          <w:sz w:val="24"/>
          <w:szCs w:val="24"/>
          <w:lang w:eastAsia="x-none"/>
        </w:rPr>
      </w:pPr>
      <w:r>
        <w:rPr>
          <w:rFonts w:eastAsia="Calibri" w:cs="Times New Roman" w:ascii="Liberation Serif" w:hAnsi="Liberation Serif"/>
          <w:b w:val="false"/>
          <w:bCs w:val="false"/>
          <w:iCs/>
          <w:sz w:val="24"/>
          <w:szCs w:val="24"/>
          <w:lang w:eastAsia="x-none"/>
        </w:rPr>
        <w:t>Размер понижающего коэффициента определяется по формуле: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738" w:leader="none"/>
        </w:tabs>
        <w:suppressAutoHyphens w:val="false"/>
        <w:bidi w:val="0"/>
        <w:spacing w:lineRule="auto" w:line="240" w:before="0" w:after="120"/>
        <w:ind w:left="737" w:right="0" w:hanging="0"/>
        <w:jc w:val="center"/>
        <w:rPr>
          <w:rFonts w:ascii="Liberation Serif" w:hAnsi="Liberation Serif" w:eastAsia="Calibri" w:cs="Times New Roman"/>
          <w:b w:val="false"/>
          <w:bCs w:val="false"/>
          <w:iCs/>
          <w:sz w:val="24"/>
          <w:szCs w:val="24"/>
          <w:lang w:eastAsia="x-none"/>
        </w:rPr>
      </w:pPr>
      <w:r>
        <w:rPr>
          <w:rFonts w:eastAsia="Calibri" w:cs="Times New Roman" w:ascii="Liberation Serif" w:hAnsi="Liberation Serif"/>
          <w:b w:val="false"/>
          <w:bCs w:val="false"/>
          <w:iCs/>
          <w:sz w:val="24"/>
          <w:szCs w:val="24"/>
          <w:lang w:eastAsia="x-none"/>
        </w:rPr>
        <w:t>k=</w:t>
      </w:r>
      <w:r>
        <w:rPr>
          <w:rFonts w:eastAsia="Calibri" w:cs="Times New Roman" w:ascii="Liberation Serif" w:hAnsi="Liberation Serif"/>
          <w:b w:val="false"/>
          <w:bCs w:val="false"/>
          <w:iCs/>
          <w:sz w:val="24"/>
          <w:szCs w:val="24"/>
          <w:lang w:eastAsia="x-none"/>
        </w:rPr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P</m:t>
            </m:r>
          </m:num>
          <m:den>
            <m:r>
              <w:rPr>
                <w:rFonts w:ascii="Cambria Math" w:hAnsi="Cambria Math"/>
              </w:rPr>
              <m:t xml:space="preserve">N</m:t>
            </m:r>
          </m:den>
        </m:f>
      </m:oMath>
    </w:p>
    <w:p>
      <w:pPr>
        <w:pStyle w:val="ListParagraph"/>
        <w:tabs>
          <w:tab w:val="clear" w:pos="288"/>
          <w:tab w:val="left" w:pos="993" w:leader="none"/>
        </w:tabs>
        <w:ind w:left="284" w:right="0" w:firstLine="426"/>
        <w:jc w:val="both"/>
        <w:rPr>
          <w:rFonts w:ascii="Liberation Serif" w:hAnsi="Liberation Serif" w:eastAsia="Calibri" w:cs="Times New Roman"/>
          <w:b w:val="false"/>
          <w:bCs w:val="false"/>
          <w:iCs/>
          <w:sz w:val="24"/>
          <w:szCs w:val="24"/>
          <w:lang w:eastAsia="x-none"/>
        </w:rPr>
      </w:pPr>
      <w:r>
        <w:rPr>
          <w:rFonts w:eastAsia="Calibri" w:cs="Times New Roman" w:ascii="Liberation Serif" w:hAnsi="Liberation Serif"/>
          <w:b w:val="false"/>
          <w:bCs w:val="false"/>
          <w:iCs/>
          <w:sz w:val="24"/>
          <w:szCs w:val="24"/>
          <w:lang w:eastAsia="x-none"/>
        </w:rPr>
        <w:t>где P – стоимость предложения Победителя;</w:t>
      </w:r>
    </w:p>
    <w:p>
      <w:pPr>
        <w:pStyle w:val="ListParagraph"/>
        <w:widowControl/>
        <w:tabs>
          <w:tab w:val="clear" w:pos="288"/>
          <w:tab w:val="left" w:pos="338" w:leader="none"/>
        </w:tabs>
        <w:suppressAutoHyphens w:val="true"/>
        <w:bidi w:val="0"/>
        <w:spacing w:lineRule="auto" w:line="240" w:before="0" w:after="0"/>
        <w:ind w:left="0" w:right="0" w:firstLine="737"/>
        <w:contextualSpacing/>
        <w:jc w:val="both"/>
        <w:rPr>
          <w:rFonts w:ascii="Liberation Serif" w:hAnsi="Liberation Serif" w:eastAsia="Calibri" w:cs="Times New Roman"/>
          <w:b w:val="false"/>
          <w:bCs w:val="false"/>
          <w:iCs/>
          <w:sz w:val="24"/>
          <w:szCs w:val="24"/>
          <w:lang w:eastAsia="x-none"/>
        </w:rPr>
      </w:pPr>
      <w:r>
        <w:rPr>
          <w:rFonts w:eastAsia="Calibri" w:cs="Times New Roman" w:ascii="Liberation Serif" w:hAnsi="Liberation Serif"/>
          <w:b w:val="false"/>
          <w:bCs w:val="false"/>
          <w:iCs/>
          <w:sz w:val="24"/>
          <w:szCs w:val="24"/>
          <w:lang w:eastAsia="x-none"/>
        </w:rPr>
        <w:t>N – начальная (максимальная) цена договора (цена лота), определенная в соответствии с Обоснованием НМЦ Заказчика, представленной в составе Документации о закупке;</w:t>
      </w:r>
    </w:p>
    <w:p>
      <w:pPr>
        <w:pStyle w:val="ListParagraph"/>
        <w:widowControl/>
        <w:tabs>
          <w:tab w:val="clear" w:pos="288"/>
          <w:tab w:val="left" w:pos="338" w:leader="none"/>
        </w:tabs>
        <w:suppressAutoHyphens w:val="true"/>
        <w:bidi w:val="0"/>
        <w:spacing w:lineRule="auto" w:line="240" w:before="0" w:after="0"/>
        <w:ind w:left="0" w:right="0" w:firstLine="737"/>
        <w:contextualSpacing/>
        <w:jc w:val="both"/>
        <w:rPr>
          <w:rFonts w:ascii="Liberation Serif" w:hAnsi="Liberation Serif"/>
          <w:bCs w:val="false"/>
          <w:iCs/>
          <w:sz w:val="24"/>
          <w:szCs w:val="24"/>
          <w:lang w:eastAsia="x-none"/>
        </w:rPr>
      </w:pPr>
      <w:r>
        <w:rPr>
          <w:rFonts w:ascii="Liberation Serif" w:hAnsi="Liberation Serif"/>
          <w:b w:val="false"/>
          <w:bCs w:val="false"/>
          <w:iCs/>
          <w:sz w:val="24"/>
          <w:szCs w:val="24"/>
          <w:lang w:eastAsia="x-none"/>
        </w:rPr>
        <w:t>k –</w:t>
      </w:r>
      <w:r>
        <w:rPr>
          <w:rFonts w:ascii="Liberation Serif" w:hAnsi="Liberation Serif"/>
          <w:bCs/>
          <w:iCs/>
          <w:sz w:val="24"/>
          <w:szCs w:val="24"/>
          <w:lang w:eastAsia="x-none"/>
        </w:rPr>
        <w:t xml:space="preserve"> </w:t>
      </w:r>
      <w:r>
        <w:rPr>
          <w:rFonts w:ascii="Liberation Serif" w:hAnsi="Liberation Serif"/>
          <w:b w:val="false"/>
          <w:bCs w:val="false"/>
          <w:iCs/>
          <w:sz w:val="24"/>
          <w:szCs w:val="24"/>
          <w:lang w:eastAsia="x-none"/>
        </w:rPr>
        <w:t>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>
      <w:pPr>
        <w:pStyle w:val="ListParagraph"/>
        <w:widowControl/>
        <w:tabs>
          <w:tab w:val="clear" w:pos="288"/>
          <w:tab w:val="left" w:pos="338" w:leader="none"/>
        </w:tabs>
        <w:suppressAutoHyphens w:val="true"/>
        <w:bidi w:val="0"/>
        <w:spacing w:lineRule="auto" w:line="240" w:before="0" w:after="0"/>
        <w:ind w:left="0" w:right="0" w:firstLine="737"/>
        <w:contextualSpacing/>
        <w:jc w:val="both"/>
        <w:rPr>
          <w:rFonts w:ascii="Liberation Serif" w:hAnsi="Liberation Serif"/>
          <w:bCs w:val="false"/>
          <w:iCs/>
          <w:sz w:val="24"/>
          <w:szCs w:val="24"/>
          <w:lang w:eastAsia="x-none"/>
        </w:rPr>
      </w:pPr>
      <w:r>
        <w:rPr>
          <w:rFonts w:ascii="Liberation Serif" w:hAnsi="Liberation Serif"/>
          <w:bCs w:val="false"/>
          <w:iCs/>
          <w:sz w:val="24"/>
          <w:szCs w:val="24"/>
          <w:lang w:eastAsia="x-none"/>
        </w:rPr>
      </w:r>
    </w:p>
    <w:p>
      <w:pPr>
        <w:pStyle w:val="Normal"/>
        <w:widowControl/>
        <w:numPr>
          <w:ilvl w:val="1"/>
          <w:numId w:val="9"/>
        </w:numPr>
        <w:tabs>
          <w:tab w:val="clear" w:pos="708"/>
          <w:tab w:val="left" w:pos="681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Cs/>
          <w:sz w:val="24"/>
          <w:szCs w:val="24"/>
          <w:lang w:eastAsia="x-none"/>
        </w:rPr>
        <w:t xml:space="preserve">В рамках исполнения договора взаиморасчеты будут осуществляться по смете, выданной Заказчиком в производство работ, разработанной </w:t>
      </w:r>
      <w:r>
        <w:rPr>
          <w:rFonts w:ascii="Liberation Serif" w:hAnsi="Liberation Serif"/>
          <w:iCs/>
          <w:sz w:val="24"/>
          <w:szCs w:val="24"/>
          <w:lang w:eastAsia="x-none"/>
        </w:rPr>
        <w:t xml:space="preserve">филиалом АО «ДРСК» «ЮЯЭС» </w:t>
      </w:r>
      <w:r>
        <w:rPr>
          <w:rFonts w:ascii="Liberation Serif" w:hAnsi="Liberation Serif"/>
          <w:iCs/>
          <w:sz w:val="24"/>
          <w:szCs w:val="24"/>
          <w:lang w:eastAsia="x-none"/>
        </w:rPr>
        <w:t>и составленные на I</w:t>
      </w:r>
      <w:r>
        <w:rPr>
          <w:rFonts w:ascii="Liberation Serif" w:hAnsi="Liberation Serif"/>
          <w:iCs/>
          <w:sz w:val="24"/>
          <w:szCs w:val="24"/>
          <w:lang w:eastAsia="x-none"/>
        </w:rPr>
        <w:t>V</w:t>
      </w:r>
      <w:r>
        <w:rPr>
          <w:rFonts w:ascii="Liberation Serif" w:hAnsi="Liberation Serif"/>
          <w:iCs/>
          <w:sz w:val="24"/>
          <w:szCs w:val="24"/>
          <w:lang w:eastAsia="x-none"/>
        </w:rPr>
        <w:t xml:space="preserve"> квартал </w:t>
      </w:r>
      <w:r>
        <w:rPr>
          <w:rFonts w:ascii="Liberation Serif" w:hAnsi="Liberation Serif"/>
          <w:iCs/>
          <w:sz w:val="24"/>
          <w:szCs w:val="24"/>
          <w:lang w:eastAsia="x-none"/>
        </w:rPr>
        <w:t>202</w:t>
      </w:r>
      <w:r>
        <w:rPr>
          <w:rFonts w:ascii="Liberation Serif" w:hAnsi="Liberation Serif"/>
          <w:iCs/>
          <w:sz w:val="24"/>
          <w:szCs w:val="24"/>
          <w:lang w:eastAsia="x-none"/>
        </w:rPr>
        <w:t>5</w:t>
      </w:r>
      <w:r>
        <w:rPr>
          <w:rFonts w:ascii="Liberation Serif" w:hAnsi="Liberation Serif"/>
          <w:iCs/>
          <w:sz w:val="24"/>
          <w:szCs w:val="24"/>
          <w:lang w:eastAsia="x-none"/>
        </w:rPr>
        <w:t xml:space="preserve"> год</w:t>
      </w:r>
      <w:r>
        <w:rPr>
          <w:rFonts w:ascii="Liberation Serif" w:hAnsi="Liberation Serif"/>
          <w:iCs/>
          <w:sz w:val="24"/>
          <w:szCs w:val="24"/>
          <w:lang w:eastAsia="x-none"/>
        </w:rPr>
        <w:t>а</w:t>
      </w:r>
      <w:r>
        <w:rPr>
          <w:rFonts w:ascii="Liberation Serif" w:hAnsi="Liberation Serif"/>
          <w:iCs/>
          <w:sz w:val="24"/>
          <w:szCs w:val="24"/>
          <w:lang w:eastAsia="x-none"/>
        </w:rPr>
        <w:t xml:space="preserve">) </w:t>
      </w:r>
      <w:r>
        <w:rPr>
          <w:rFonts w:eastAsia="Calibri" w:cs="Times New Roman"/>
          <w:iCs/>
          <w:color w:val="000000"/>
          <w:kern w:val="0"/>
          <w:sz w:val="24"/>
          <w:szCs w:val="24"/>
          <w:shd w:fill="auto" w:val="clear"/>
          <w:lang w:val="ru-RU" w:eastAsia="en-US" w:bidi="ar-SA"/>
        </w:rPr>
        <w:t xml:space="preserve">в соответствии с прогнозом Министерства экономического развития РФ (прогноз «базовый», ИПЦ базовый, по строке - Показатели инфляции / в среднем за год) </w:t>
      </w:r>
      <w:r>
        <w:rPr>
          <w:rFonts w:cs="Times New Roman"/>
          <w:iCs/>
          <w:color w:val="000000"/>
          <w:sz w:val="24"/>
          <w:szCs w:val="24"/>
          <w:shd w:fill="auto" w:val="clear"/>
          <w:lang w:eastAsia="x-none"/>
        </w:rPr>
        <w:t xml:space="preserve"> в </w:t>
      </w:r>
      <w:r>
        <w:rPr>
          <w:rFonts w:cs="Times New Roman"/>
          <w:b/>
          <w:bCs/>
          <w:iCs/>
          <w:color w:val="000000"/>
          <w:sz w:val="24"/>
          <w:szCs w:val="24"/>
          <w:shd w:fill="auto" w:val="clear"/>
          <w:lang w:eastAsia="x-none"/>
        </w:rPr>
        <w:t xml:space="preserve">размере </w:t>
      </w:r>
      <w:r>
        <w:rPr>
          <w:rFonts w:cs="Times New Roman"/>
          <w:b/>
          <w:bCs/>
          <w:iCs/>
          <w:color w:val="000000"/>
          <w:sz w:val="24"/>
          <w:szCs w:val="24"/>
          <w:shd w:fill="auto" w:val="clear"/>
          <w:lang w:eastAsia="x-none"/>
        </w:rPr>
        <w:t>3,67</w:t>
      </w:r>
      <w:r>
        <w:rPr>
          <w:rFonts w:cs="Times New Roman"/>
          <w:b/>
          <w:bCs/>
          <w:iCs/>
          <w:color w:val="000000"/>
          <w:sz w:val="24"/>
          <w:szCs w:val="24"/>
          <w:shd w:fill="auto" w:val="clear"/>
          <w:lang w:eastAsia="x-none"/>
        </w:rPr>
        <w:t>% (расчетный)</w:t>
      </w:r>
      <w:r>
        <w:rPr>
          <w:rFonts w:ascii="Liberation Serif" w:hAnsi="Liberation Serif"/>
          <w:iCs/>
          <w:sz w:val="24"/>
          <w:szCs w:val="24"/>
          <w:lang w:eastAsia="x-none"/>
        </w:rPr>
        <w:t>, с учетом понижающего коэффициента по результатам закупки.</w:t>
      </w:r>
    </w:p>
    <w:p>
      <w:pPr>
        <w:pStyle w:val="Normal"/>
        <w:widowControl/>
        <w:numPr>
          <w:ilvl w:val="1"/>
          <w:numId w:val="9"/>
        </w:numPr>
        <w:tabs>
          <w:tab w:val="clear" w:pos="708"/>
          <w:tab w:val="left" w:pos="681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Резерв средств на непредвиденные расходы предусм</w:t>
      </w:r>
      <w:r>
        <w:rPr>
          <w:rFonts w:ascii="Liberation Serif" w:hAnsi="Liberation Serif"/>
          <w:sz w:val="24"/>
          <w:szCs w:val="24"/>
        </w:rPr>
        <w:t>отрен</w:t>
      </w:r>
      <w:r>
        <w:rPr>
          <w:rFonts w:ascii="Liberation Serif" w:hAnsi="Liberation Serif"/>
          <w:sz w:val="24"/>
          <w:szCs w:val="24"/>
        </w:rPr>
        <w:t xml:space="preserve"> в размере 1,5 %.</w:t>
      </w:r>
    </w:p>
    <w:p>
      <w:pPr>
        <w:pStyle w:val="Normal"/>
        <w:widowControl/>
        <w:numPr>
          <w:ilvl w:val="1"/>
          <w:numId w:val="9"/>
        </w:numPr>
        <w:tabs>
          <w:tab w:val="clear" w:pos="708"/>
          <w:tab w:val="left" w:pos="681" w:leader="none"/>
        </w:tabs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</w:t>
      </w:r>
      <w:r>
        <w:rPr>
          <w:rFonts w:ascii="Liberation Serif" w:hAnsi="Liberation Serif"/>
          <w:sz w:val="24"/>
          <w:szCs w:val="24"/>
        </w:rPr>
        <w:t>4</w:t>
      </w:r>
      <w:r>
        <w:rPr>
          <w:rFonts w:ascii="Liberation Serif" w:hAnsi="Liberation Serif"/>
          <w:sz w:val="24"/>
          <w:szCs w:val="24"/>
        </w:rPr>
        <w:t xml:space="preserve"> к настоящ</w:t>
      </w:r>
      <w:r>
        <w:rPr>
          <w:rFonts w:ascii="Liberation Serif" w:hAnsi="Liberation Serif"/>
          <w:sz w:val="24"/>
          <w:szCs w:val="24"/>
        </w:rPr>
        <w:t>ему</w:t>
      </w:r>
      <w:r>
        <w:rPr>
          <w:rFonts w:ascii="Liberation Serif" w:hAnsi="Liberation Serif"/>
          <w:sz w:val="24"/>
          <w:szCs w:val="24"/>
        </w:rPr>
        <w:t xml:space="preserve"> Техническ</w:t>
      </w:r>
      <w:r>
        <w:rPr>
          <w:rFonts w:ascii="Liberation Serif" w:hAnsi="Liberation Serif"/>
          <w:sz w:val="24"/>
          <w:szCs w:val="24"/>
        </w:rPr>
        <w:t>ому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заданию</w:t>
      </w:r>
      <w:r>
        <w:rPr>
          <w:rFonts w:ascii="Liberation Serif" w:hAnsi="Liberation Serif"/>
          <w:sz w:val="24"/>
          <w:szCs w:val="24"/>
        </w:rPr>
        <w:t xml:space="preserve">, с применением понижающего коэффициента, определенного по результатам конкурентной процедуры (п. </w:t>
      </w:r>
      <w:r>
        <w:rPr>
          <w:rFonts w:ascii="Liberation Serif" w:hAnsi="Liberation Serif"/>
          <w:sz w:val="24"/>
          <w:szCs w:val="24"/>
        </w:rPr>
        <w:t xml:space="preserve">4.1. </w:t>
      </w:r>
      <w:r>
        <w:rPr>
          <w:rFonts w:ascii="Liberation Serif" w:hAnsi="Liberation Serif"/>
          <w:sz w:val="24"/>
          <w:szCs w:val="24"/>
        </w:rPr>
        <w:t>к настоящим ТТ</w:t>
      </w:r>
      <w:r>
        <w:rPr>
          <w:rFonts w:ascii="Liberation Serif" w:hAnsi="Liberation Serif"/>
          <w:sz w:val="24"/>
          <w:szCs w:val="24"/>
        </w:rPr>
        <w:t>).  Заключение дополнительного соглашения на увеличение стоимости работ производится после использования резерва средств на непредвиденные работы и затраты. В дополнительном соглашении резерв средств на непредвиденные работы и затраты не предусматривается.</w:t>
      </w:r>
    </w:p>
    <w:p>
      <w:pPr>
        <w:pStyle w:val="Normal"/>
        <w:shd w:fill="FFFFFF" w:val="clear"/>
        <w:ind w:left="0" w:right="0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shd w:fill="FFFFFF" w:val="clear"/>
        <w:ind w:left="0" w:right="0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shd w:fill="FFFFFF" w:val="clear"/>
        <w:ind w:left="0" w:right="0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shd w:fill="FFFFFF" w:val="clear"/>
        <w:ind w:left="0" w:right="0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shd w:fill="FFFFFF" w:val="clear"/>
        <w:ind w:left="0" w:right="0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shd w:fill="FFFFFF" w:val="clear"/>
        <w:ind w:left="0" w:right="0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shd w:fill="FFFFFF" w:val="clear"/>
        <w:ind w:left="0" w:right="0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shd w:fill="FFFFFF" w:val="clear"/>
        <w:ind w:left="0" w:right="0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shd w:fill="FFFFFF" w:val="clear"/>
        <w:ind w:left="0" w:right="0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shd w:fill="FFFFFF" w:val="clear"/>
        <w:ind w:left="0" w:right="0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"/>
        <w:shd w:fill="FFFFFF" w:val="clear"/>
        <w:ind w:left="0" w:right="0"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ListParagraph"/>
        <w:numPr>
          <w:ilvl w:val="0"/>
          <w:numId w:val="9"/>
        </w:numPr>
        <w:tabs>
          <w:tab w:val="clear" w:pos="288"/>
          <w:tab w:val="left" w:pos="284" w:leader="none"/>
        </w:tabs>
        <w:ind w:left="0" w:right="0" w:hanging="0"/>
        <w:jc w:val="center"/>
        <w:rPr>
          <w:rFonts w:ascii="Liberation Serif" w:hAnsi="Liberation Serif"/>
        </w:rPr>
      </w:pPr>
      <w:bookmarkStart w:id="15" w:name="_Toc54646413"/>
      <w:r>
        <w:rPr>
          <w:rFonts w:cs="Times New Roman" w:ascii="Liberation Serif" w:hAnsi="Liberation Serif"/>
          <w:b/>
          <w:sz w:val="26"/>
          <w:szCs w:val="26"/>
        </w:rPr>
        <w:t>Приложени</w:t>
      </w:r>
      <w:bookmarkEnd w:id="15"/>
      <w:r>
        <w:rPr>
          <w:rFonts w:cs="Times New Roman" w:ascii="Liberation Serif" w:hAnsi="Liberation Serif"/>
          <w:b/>
          <w:sz w:val="26"/>
          <w:szCs w:val="26"/>
        </w:rPr>
        <w:t>я</w:t>
      </w:r>
    </w:p>
    <w:p>
      <w:pPr>
        <w:pStyle w:val="Normal"/>
        <w:rPr>
          <w:rFonts w:ascii="Liberation Serif" w:hAnsi="Liberation Serif" w:cs="Times New Roman"/>
          <w:b w:val="false"/>
          <w:bCs w:val="false"/>
        </w:rPr>
      </w:pPr>
      <w:r>
        <w:rPr>
          <w:rFonts w:cs="Times New Roman" w:ascii="Liberation Serif" w:hAnsi="Liberation Serif"/>
          <w:b w:val="false"/>
          <w:bCs w:val="false"/>
        </w:rPr>
      </w:r>
    </w:p>
    <w:p>
      <w:pPr>
        <w:pStyle w:val="Normal"/>
        <w:jc w:val="both"/>
        <w:rPr/>
      </w:pPr>
      <w:r>
        <w:rPr>
          <w:rFonts w:cs="Times New Roman" w:ascii="Liberation Serif" w:hAnsi="Liberation Serif"/>
          <w:b/>
          <w:bCs/>
          <w:sz w:val="24"/>
          <w:szCs w:val="24"/>
        </w:rPr>
        <w:t>Приложение № 1:</w:t>
      </w:r>
      <w:r>
        <w:rPr>
          <w:rFonts w:cs="Times New Roman" w:ascii="Liberation Serif" w:hAnsi="Liberation Serif"/>
          <w:b w:val="false"/>
          <w:bCs w:val="false"/>
          <w:sz w:val="24"/>
          <w:szCs w:val="24"/>
        </w:rPr>
        <w:t xml:space="preserve"> </w:t>
      </w:r>
      <w:r>
        <w:rPr>
          <w:rStyle w:val="Fontstyle01"/>
          <w:rFonts w:cs="Times New Roman" w:ascii="Liberation Serif" w:hAnsi="Liberation Serif"/>
          <w:b w:val="false"/>
          <w:bCs w:val="false"/>
          <w:i w:val="false"/>
          <w:iCs w:val="false"/>
          <w:sz w:val="24"/>
          <w:szCs w:val="24"/>
        </w:rPr>
        <w:t>Акт обследования №ТПр 57/26 от 24.03.2026 г ;</w:t>
      </w:r>
    </w:p>
    <w:p>
      <w:pPr>
        <w:pStyle w:val="Normal"/>
        <w:jc w:val="both"/>
        <w:rPr>
          <w:rStyle w:val="Fontstyle01"/>
        </w:rPr>
      </w:pPr>
      <w:r>
        <w:rPr/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>Приложение № 2:</w:t>
      </w:r>
      <w:r>
        <w:rPr>
          <w:rFonts w:ascii="Liberation Serif" w:hAnsi="Liberation Serif"/>
          <w:sz w:val="24"/>
          <w:szCs w:val="24"/>
        </w:rPr>
        <w:t xml:space="preserve"> Основные НТД к выполнению работ.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Приложение № 3: </w:t>
      </w:r>
      <w:r>
        <w:rPr>
          <w:rFonts w:ascii="Liberation Serif" w:hAnsi="Liberation Serif"/>
          <w:sz w:val="24"/>
          <w:szCs w:val="24"/>
        </w:rPr>
        <w:t xml:space="preserve">Перечень </w:t>
      </w:r>
      <w:r>
        <w:rPr>
          <w:rFonts w:ascii="Liberation Serif" w:hAnsi="Liberation Serif"/>
          <w:sz w:val="24"/>
          <w:szCs w:val="24"/>
        </w:rPr>
        <w:t>оборудования</w:t>
      </w:r>
      <w:r>
        <w:rPr>
          <w:rFonts w:ascii="Liberation Serif" w:hAnsi="Liberation Serif"/>
          <w:sz w:val="24"/>
          <w:szCs w:val="24"/>
        </w:rPr>
        <w:t>, передавае</w:t>
      </w:r>
      <w:r>
        <w:rPr>
          <w:rFonts w:ascii="Liberation Serif" w:hAnsi="Liberation Serif"/>
          <w:sz w:val="24"/>
          <w:szCs w:val="24"/>
        </w:rPr>
        <w:t>м</w:t>
      </w:r>
      <w:r>
        <w:rPr>
          <w:rFonts w:ascii="Liberation Serif" w:hAnsi="Liberation Serif"/>
          <w:sz w:val="24"/>
          <w:szCs w:val="24"/>
        </w:rPr>
        <w:t>ых</w:t>
      </w:r>
      <w:r>
        <w:rPr>
          <w:rFonts w:ascii="Liberation Serif" w:hAnsi="Liberation Serif"/>
          <w:sz w:val="24"/>
          <w:szCs w:val="24"/>
        </w:rPr>
        <w:t xml:space="preserve"> в монтаж.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Приложение № 4: </w:t>
      </w:r>
      <w:r>
        <w:rPr>
          <w:rFonts w:ascii="Liberation Serif" w:hAnsi="Liberation Serif"/>
          <w:sz w:val="24"/>
          <w:szCs w:val="24"/>
        </w:rPr>
        <w:t>Требования к оформлению и составлению сметной документации.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Приложение № </w:t>
      </w:r>
      <w:r>
        <w:rPr>
          <w:rFonts w:ascii="Liberation Serif" w:hAnsi="Liberation Serif"/>
          <w:b/>
          <w:bCs/>
          <w:sz w:val="24"/>
          <w:szCs w:val="24"/>
        </w:rPr>
        <w:t>5</w:t>
      </w:r>
      <w:r>
        <w:rPr>
          <w:rFonts w:ascii="Liberation Serif" w:hAnsi="Liberation Serif"/>
          <w:b/>
          <w:bCs/>
          <w:sz w:val="24"/>
          <w:szCs w:val="24"/>
        </w:rPr>
        <w:t xml:space="preserve">: </w:t>
      </w:r>
      <w:r>
        <w:rPr>
          <w:rFonts w:ascii="Liberation Serif" w:hAnsi="Liberation Serif"/>
          <w:sz w:val="24"/>
          <w:szCs w:val="24"/>
        </w:rPr>
        <w:t>Сметная документация</w:t>
      </w:r>
      <w:r>
        <w:rPr>
          <w:rFonts w:ascii="Liberation Serif" w:hAnsi="Liberation Serif"/>
          <w:sz w:val="24"/>
          <w:szCs w:val="24"/>
        </w:rPr>
        <w:t>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Приложение №6: </w:t>
      </w:r>
      <w:r>
        <w:rPr>
          <w:rFonts w:ascii="Liberation Serif" w:hAnsi="Liberation Serif"/>
          <w:sz w:val="24"/>
          <w:szCs w:val="24"/>
        </w:rPr>
        <w:t>Характеристики объекта.</w:t>
      </w:r>
    </w:p>
    <w:p>
      <w:pPr>
        <w:pStyle w:val="Normal"/>
        <w:jc w:val="both"/>
        <w:rPr>
          <w:rFonts w:ascii="Liberation Serif" w:hAnsi="Liberation Serif"/>
          <w:bCs/>
          <w:iCs/>
          <w:sz w:val="24"/>
          <w:szCs w:val="24"/>
        </w:rPr>
      </w:pPr>
      <w:r>
        <w:rPr>
          <w:rFonts w:ascii="Liberation Serif" w:hAnsi="Liberation Serif"/>
          <w:bCs/>
          <w:iCs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bCs/>
          <w:iCs/>
          <w:sz w:val="24"/>
          <w:szCs w:val="24"/>
        </w:rPr>
      </w:pPr>
      <w:r>
        <w:rPr>
          <w:rFonts w:ascii="Liberation Serif" w:hAnsi="Liberation Serif"/>
          <w:bCs/>
          <w:iCs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bCs/>
          <w:iCs/>
          <w:sz w:val="24"/>
          <w:szCs w:val="24"/>
        </w:rPr>
      </w:pPr>
      <w:r>
        <w:rPr>
          <w:rFonts w:ascii="Liberation Serif" w:hAnsi="Liberation Serif"/>
          <w:bCs/>
          <w:iCs/>
          <w:sz w:val="24"/>
          <w:szCs w:val="24"/>
        </w:rPr>
      </w:r>
    </w:p>
    <w:p>
      <w:pPr>
        <w:pStyle w:val="Standard"/>
        <w:widowControl w:val="false"/>
        <w:tabs>
          <w:tab w:val="clear" w:pos="708"/>
          <w:tab w:val="left" w:pos="6716" w:leader="none"/>
        </w:tabs>
        <w:spacing w:before="0" w:after="0"/>
        <w:ind w:left="10" w:right="0" w:hanging="0"/>
        <w:rPr>
          <w:rFonts w:ascii="Liberation Serif" w:hAnsi="Liberation Serif"/>
          <w:sz w:val="24"/>
          <w:szCs w:val="24"/>
        </w:rPr>
      </w:pPr>
      <w:bookmarkEnd w:id="4"/>
      <w:r>
        <w:rPr>
          <w:rFonts w:ascii="Liberation Serif" w:hAnsi="Liberation Serif"/>
          <w:sz w:val="24"/>
          <w:szCs w:val="24"/>
        </w:rPr>
        <w:t xml:space="preserve">     </w:t>
      </w:r>
    </w:p>
    <w:sectPr>
      <w:headerReference w:type="default" r:id="rId9"/>
      <w:headerReference w:type="first" r:id="rId10"/>
      <w:footerReference w:type="default" r:id="rId11"/>
      <w:footerReference w:type="first" r:id="rId12"/>
      <w:type w:val="nextPage"/>
      <w:pgSz w:w="11906" w:h="16838"/>
      <w:pgMar w:left="1134" w:right="849" w:gutter="0" w:header="709" w:top="851" w:footer="0" w:bottom="709"/>
      <w:pgNumType w:fmt="decimal"/>
      <w:formProt w:val="false"/>
      <w:textDirection w:val="lrTb"/>
      <w:docGrid w:type="default" w:linePitch="381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Segoe UI">
    <w:charset w:val="01"/>
    <w:family w:val="roman"/>
    <w:pitch w:val="variable"/>
  </w:font>
  <w:font w:name="TimesNewRomanPSMT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Wingdings">
    <w:charset w:val="02"/>
    <w:family w:val="auto"/>
    <w:pitch w:val="variable"/>
  </w:font>
  <w:font w:name="Courier New">
    <w:charset w:val="01"/>
    <w:family w:val="modern"/>
    <w:pitch w:val="default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Arial Unicode MS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4"/>
        <w:szCs w:val="24"/>
      </w:rPr>
    </w:pPr>
    <w:r>
      <w:rPr>
        <w:sz w:val="24"/>
        <w:szCs w:val="24"/>
      </w:rPr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4"/>
        <w:szCs w:val="24"/>
      </w:rPr>
    </w:pPr>
    <w:r>
      <w:rPr>
        <w:sz w:val="24"/>
        <w:szCs w:val="24"/>
      </w:rPr>
    </w:r>
  </w:p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fldChar w:fldCharType="begin"/>
    </w:r>
    <w:r>
      <w:rPr>
        <w:rFonts w:cs="Times New Roman" w:ascii="Times New Roman" w:hAnsi="Times New Roman"/>
      </w:rPr>
      <w:instrText xml:space="preserve"> PAGE </w:instrText>
    </w:r>
    <w:r>
      <w:rPr>
        <w:rFonts w:cs="Times New Roman" w:ascii="Times New Roman" w:hAnsi="Times New Roman"/>
      </w:rPr>
      <w:fldChar w:fldCharType="separate"/>
    </w:r>
    <w:r>
      <w:rPr>
        <w:rFonts w:cs="Times New Roman" w:ascii="Times New Roman" w:hAnsi="Times New Roman"/>
      </w:rPr>
      <w:t>11</w:t>
    </w:r>
    <w:r>
      <w:rPr>
        <w:rFonts w:cs="Times New Roman" w:ascii="Times New Roman" w:hAnsi="Times New Roman"/>
      </w:rPr>
      <w:fldChar w:fldCharType="end"/>
    </w:r>
  </w:p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fldChar w:fldCharType="begin"/>
    </w:r>
    <w:r>
      <w:rPr>
        <w:rFonts w:cs="Times New Roman" w:ascii="Times New Roman" w:hAnsi="Times New Roman"/>
      </w:rPr>
      <w:instrText xml:space="preserve"> PAGE </w:instrText>
    </w:r>
    <w:r>
      <w:rPr>
        <w:rFonts w:cs="Times New Roman" w:ascii="Times New Roman" w:hAnsi="Times New Roman"/>
      </w:rPr>
      <w:fldChar w:fldCharType="separate"/>
    </w:r>
    <w:r>
      <w:rPr>
        <w:rFonts w:cs="Times New Roman" w:ascii="Times New Roman" w:hAnsi="Times New Roman"/>
      </w:rPr>
      <w:t>22</w:t>
    </w:r>
    <w:r>
      <w:rPr>
        <w:rFonts w:cs="Times New Roman" w:ascii="Times New Roman" w:hAnsi="Times New Roman"/>
      </w:rPr>
      <w:fldChar w:fldCharType="end"/>
    </w:r>
  </w:p>
  <w:p>
    <w:pPr>
      <w:pStyle w:val="Head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fldChar w:fldCharType="begin"/>
    </w:r>
    <w:r>
      <w:rPr>
        <w:rFonts w:cs="Times New Roman" w:ascii="Times New Roman" w:hAnsi="Times New Roman"/>
      </w:rPr>
      <w:instrText xml:space="preserve"> PAGE </w:instrText>
    </w:r>
    <w:r>
      <w:rPr>
        <w:rFonts w:cs="Times New Roman" w:ascii="Times New Roman" w:hAnsi="Times New Roman"/>
      </w:rPr>
      <w:fldChar w:fldCharType="separate"/>
    </w:r>
    <w:r>
      <w:rPr>
        <w:rFonts w:cs="Times New Roman" w:ascii="Times New Roman" w:hAnsi="Times New Roman"/>
      </w:rPr>
      <w:t>24</w:t>
    </w:r>
    <w:r>
      <w:rPr>
        <w:rFonts w:cs="Times New Roman" w:ascii="Times New Roman" w:hAnsi="Times New Roman"/>
      </w:rPr>
      <w:fldChar w:fldCharType="end"/>
    </w:r>
  </w:p>
  <w:p>
    <w:pPr>
      <w:pStyle w:val="Head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6"/>
        <w:b/>
        <w:szCs w:val="28"/>
        <w:bCs w:val="false"/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sz w:val="24"/>
        <w:i w:val="false"/>
        <w:b/>
        <w:szCs w:val="24"/>
        <w:bCs/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sz w:val="24"/>
        <w:szCs w:val="24"/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false"/>
        <w:color w:val="00000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  <w:bCs/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0"/>
      </w:pPr>
      <w:rPr>
        <w:rFonts w:ascii="Wingdings" w:hAnsi="Wingdings" w:cs="Wingdings" w:hint="default"/>
      </w:rPr>
    </w:lvl>
  </w:abstractNum>
  <w:abstractNum w:abstractNumId="9"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b/>
        <w:szCs w:val="24"/>
        <w:bCs/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z w:val="24"/>
        <w:b/>
        <w:szCs w:val="24"/>
        <w:bCs/>
        <w:rFonts w:ascii="Times New Roman" w:hAnsi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b/>
        <w:szCs w:val="24"/>
        <w:bCs/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b/>
        <w:szCs w:val="24"/>
        <w:bCs/>
        <w:rFonts w:ascii="Times New Roman" w:hAnsi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b/>
        <w:szCs w:val="24"/>
        <w:bCs/>
        <w:rFonts w:ascii="Times New Roman" w:hAnsi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b/>
        <w:szCs w:val="24"/>
        <w:bCs/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b/>
        <w:szCs w:val="24"/>
        <w:bCs/>
        <w:rFonts w:ascii="Times New Roman" w:hAnsi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b/>
        <w:szCs w:val="24"/>
        <w:bCs/>
        <w:rFonts w:ascii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b/>
        <w:szCs w:val="24"/>
        <w:bCs/>
        <w:rFonts w:ascii="Times New Roman" w:hAnsi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5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kern w:val="2"/>
        <w:sz w:val="28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8"/>
      <w:lang w:eastAsia="ru-RU" w:val="ru-RU" w:bidi="ar-SA"/>
    </w:rPr>
  </w:style>
  <w:style w:type="paragraph" w:styleId="Heading1">
    <w:name w:val="Heading 1"/>
    <w:basedOn w:val="Heading3"/>
    <w:qFormat/>
    <w:pPr>
      <w:numPr>
        <w:ilvl w:val="0"/>
        <w:numId w:val="0"/>
      </w:numPr>
      <w:ind w:left="5038" w:right="0" w:hanging="0"/>
      <w:outlineLvl w:val="0"/>
    </w:pPr>
    <w:rPr>
      <w:sz w:val="28"/>
      <w:szCs w:val="28"/>
    </w:rPr>
  </w:style>
  <w:style w:type="paragraph" w:styleId="Heading2">
    <w:name w:val="Heading 2"/>
    <w:basedOn w:val="Heading4"/>
    <w:qFormat/>
    <w:pPr>
      <w:numPr>
        <w:ilvl w:val="0"/>
        <w:numId w:val="0"/>
      </w:numPr>
      <w:ind w:left="858" w:right="0" w:hanging="432"/>
      <w:outlineLvl w:val="1"/>
    </w:pPr>
    <w:rPr/>
  </w:style>
  <w:style w:type="paragraph" w:styleId="Heading3">
    <w:name w:val="Heading 3"/>
    <w:basedOn w:val="Normal"/>
    <w:autoRedefine/>
    <w:qFormat/>
    <w:pPr>
      <w:keepNext w:val="true"/>
      <w:numPr>
        <w:ilvl w:val="0"/>
        <w:numId w:val="0"/>
      </w:numPr>
      <w:spacing w:before="0" w:after="60"/>
      <w:ind w:left="283" w:right="0" w:hanging="0"/>
      <w:jc w:val="both"/>
      <w:outlineLvl w:val="2"/>
    </w:pPr>
    <w:rPr>
      <w:rFonts w:eastAsia="Calibri"/>
      <w:sz w:val="24"/>
      <w:szCs w:val="24"/>
      <w:lang w:eastAsia="x-none"/>
    </w:rPr>
  </w:style>
  <w:style w:type="paragraph" w:styleId="Heading4">
    <w:name w:val="Heading 4"/>
    <w:basedOn w:val="Heading3"/>
    <w:qFormat/>
    <w:pPr>
      <w:numPr>
        <w:ilvl w:val="0"/>
        <w:numId w:val="0"/>
      </w:numPr>
      <w:tabs>
        <w:tab w:val="clear" w:pos="708"/>
        <w:tab w:val="left" w:pos="0" w:leader="none"/>
      </w:tabs>
      <w:ind w:left="858" w:right="0" w:hanging="432"/>
      <w:outlineLvl w:val="3"/>
    </w:pPr>
    <w:rPr>
      <w:bCs/>
    </w:rPr>
  </w:style>
  <w:style w:type="paragraph" w:styleId="Heading5">
    <w:name w:val="Heading 5"/>
    <w:qFormat/>
    <w:pPr>
      <w:widowControl w:val="false"/>
      <w:numPr>
        <w:ilvl w:val="0"/>
        <w:numId w:val="0"/>
      </w:numPr>
      <w:kinsoku w:val="true"/>
      <w:overflowPunct w:val="true"/>
      <w:autoSpaceDE w:val="true"/>
      <w:bidi w:val="0"/>
      <w:spacing w:before="240" w:after="60"/>
      <w:outlineLvl w:val="4"/>
    </w:pPr>
    <w:rPr>
      <w:rFonts w:ascii="Calibri" w:hAnsi="Calibri" w:eastAsia="Calibri" w:cs="Tahoma"/>
      <w:b/>
      <w:bCs/>
      <w:i/>
      <w:iCs/>
      <w:color w:val="auto"/>
      <w:kern w:val="2"/>
      <w:sz w:val="26"/>
      <w:szCs w:val="26"/>
      <w:lang w:val="ru-RU" w:eastAsia="en-US" w:bidi="ar-SA"/>
    </w:rPr>
  </w:style>
  <w:style w:type="paragraph" w:styleId="Heading6">
    <w:name w:val="Heading 6"/>
    <w:qFormat/>
    <w:pPr>
      <w:keepNext w:val="true"/>
      <w:keepLines/>
      <w:widowControl w:val="false"/>
      <w:numPr>
        <w:ilvl w:val="0"/>
        <w:numId w:val="0"/>
      </w:numPr>
      <w:kinsoku w:val="true"/>
      <w:overflowPunct w:val="true"/>
      <w:autoSpaceDE w:val="true"/>
      <w:bidi w:val="0"/>
      <w:spacing w:before="200" w:after="0"/>
      <w:outlineLvl w:val="5"/>
    </w:pPr>
    <w:rPr>
      <w:rFonts w:ascii="Cambria" w:hAnsi="Cambria" w:eastAsia="Cambria" w:cs="Cambria"/>
      <w:i/>
      <w:iCs/>
      <w:color w:val="243F60"/>
      <w:kern w:val="2"/>
      <w:sz w:val="20"/>
      <w:szCs w:val="20"/>
      <w:lang w:val="ru-RU" w:eastAsia="en-US" w:bidi="ar-SA"/>
    </w:rPr>
  </w:style>
  <w:style w:type="paragraph" w:styleId="Heading7">
    <w:name w:val="Heading 7"/>
    <w:qFormat/>
    <w:pPr>
      <w:keepNext w:val="true"/>
      <w:keepLines/>
      <w:widowControl w:val="false"/>
      <w:numPr>
        <w:ilvl w:val="0"/>
        <w:numId w:val="0"/>
      </w:numPr>
      <w:kinsoku w:val="true"/>
      <w:overflowPunct w:val="true"/>
      <w:autoSpaceDE w:val="true"/>
      <w:bidi w:val="0"/>
      <w:spacing w:before="200" w:after="0"/>
      <w:outlineLvl w:val="6"/>
    </w:pPr>
    <w:rPr>
      <w:rFonts w:ascii="Cambria" w:hAnsi="Cambria" w:eastAsia="Cambria" w:cs="Cambria"/>
      <w:i/>
      <w:iCs/>
      <w:color w:val="404040"/>
      <w:kern w:val="2"/>
      <w:sz w:val="20"/>
      <w:szCs w:val="20"/>
      <w:lang w:val="ru-RU" w:eastAsia="en-US" w:bidi="ar-SA"/>
    </w:rPr>
  </w:style>
  <w:style w:type="paragraph" w:styleId="Heading8">
    <w:name w:val="Heading 8"/>
    <w:qFormat/>
    <w:pPr>
      <w:keepNext w:val="true"/>
      <w:keepLines/>
      <w:widowControl w:val="false"/>
      <w:numPr>
        <w:ilvl w:val="0"/>
        <w:numId w:val="0"/>
      </w:numPr>
      <w:kinsoku w:val="true"/>
      <w:overflowPunct w:val="true"/>
      <w:autoSpaceDE w:val="true"/>
      <w:bidi w:val="0"/>
      <w:spacing w:before="200" w:after="0"/>
      <w:outlineLvl w:val="7"/>
    </w:pPr>
    <w:rPr>
      <w:rFonts w:ascii="Cambria" w:hAnsi="Cambria" w:eastAsia="Cambria" w:cs="Cambria"/>
      <w:color w:val="4F81BD"/>
      <w:kern w:val="2"/>
      <w:sz w:val="20"/>
      <w:szCs w:val="20"/>
      <w:lang w:val="ru-RU" w:eastAsia="en-US" w:bidi="ar-SA"/>
    </w:rPr>
  </w:style>
  <w:style w:type="paragraph" w:styleId="Heading9">
    <w:name w:val="Heading 9"/>
    <w:qFormat/>
    <w:pPr>
      <w:widowControl w:val="false"/>
      <w:numPr>
        <w:ilvl w:val="0"/>
        <w:numId w:val="0"/>
      </w:numPr>
      <w:kinsoku w:val="true"/>
      <w:overflowPunct w:val="true"/>
      <w:autoSpaceDE w:val="true"/>
      <w:bidi w:val="0"/>
      <w:spacing w:before="240" w:after="60"/>
      <w:outlineLvl w:val="8"/>
    </w:pPr>
    <w:rPr>
      <w:rFonts w:ascii="Arial" w:hAnsi="Arial" w:eastAsia="Arial" w:cs="Arial"/>
      <w:color w:val="auto"/>
      <w:kern w:val="2"/>
      <w:sz w:val="22"/>
      <w:szCs w:val="22"/>
      <w:lang w:val="ru-RU" w:eastAsia="en-US" w:bidi="ar-SA"/>
    </w:rPr>
  </w:style>
  <w:style w:type="character" w:styleId="DefaultParagraphFont">
    <w:name w:val="Default Paragraph Font"/>
    <w:qFormat/>
    <w:rPr/>
  </w:style>
  <w:style w:type="character" w:styleId="1">
    <w:name w:val="Заголовок 1 Знак"/>
    <w:basedOn w:val="DefaultParagraphFont"/>
    <w:qFormat/>
    <w:rPr>
      <w:rFonts w:ascii="Times New Roman" w:hAnsi="Times New Roman" w:eastAsia="Calibri" w:cs="Times New Roman"/>
      <w:strike/>
      <w:sz w:val="28"/>
      <w:szCs w:val="28"/>
      <w:lang w:eastAsia="x-none"/>
    </w:rPr>
  </w:style>
  <w:style w:type="character" w:styleId="2">
    <w:name w:val="Заголовок 2 Знак"/>
    <w:basedOn w:val="DefaultParagraphFont"/>
    <w:qFormat/>
    <w:rPr>
      <w:rFonts w:ascii="Times New Roman" w:hAnsi="Times New Roman" w:eastAsia="Calibri" w:cs="Times New Roman"/>
      <w:bCs/>
      <w:strike/>
      <w:sz w:val="24"/>
      <w:szCs w:val="24"/>
      <w:lang w:eastAsia="x-none"/>
    </w:rPr>
  </w:style>
  <w:style w:type="character" w:styleId="3">
    <w:name w:val="Заголовок 3 Знак"/>
    <w:basedOn w:val="DefaultParagraphFont"/>
    <w:qFormat/>
    <w:rPr>
      <w:rFonts w:ascii="Times New Roman" w:hAnsi="Times New Roman" w:eastAsia="Calibri" w:cs="Times New Roman"/>
      <w:sz w:val="24"/>
      <w:szCs w:val="24"/>
      <w:lang w:eastAsia="x-none"/>
    </w:rPr>
  </w:style>
  <w:style w:type="character" w:styleId="4">
    <w:name w:val="Заголовок 4 Знак"/>
    <w:basedOn w:val="DefaultParagraphFont"/>
    <w:qFormat/>
    <w:rPr>
      <w:rFonts w:ascii="Times New Roman" w:hAnsi="Times New Roman" w:eastAsia="Calibri" w:cs="Times New Roman"/>
      <w:bCs/>
      <w:strike/>
      <w:sz w:val="24"/>
      <w:szCs w:val="24"/>
      <w:lang w:eastAsia="x-none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yle">
    <w:name w:val="Абзац списка Знак"/>
    <w:qFormat/>
    <w:rPr>
      <w:rFonts w:eastAsia="Calibri"/>
      <w:sz w:val="24"/>
      <w:szCs w:val="24"/>
    </w:rPr>
  </w:style>
  <w:style w:type="character" w:styleId="Style1">
    <w:name w:val="комментарий"/>
    <w:qFormat/>
    <w:rPr>
      <w:i/>
      <w:shd w:fill="FFFF99" w:val="clear"/>
    </w:rPr>
  </w:style>
  <w:style w:type="character" w:styleId="Style2">
    <w:name w:val="Верхний колонтитул Знак"/>
    <w:qFormat/>
    <w:rPr>
      <w:sz w:val="24"/>
      <w:szCs w:val="24"/>
    </w:rPr>
  </w:style>
  <w:style w:type="character" w:styleId="Style3">
    <w:name w:val="Текст примечания Знак"/>
    <w:qFormat/>
    <w:rPr/>
  </w:style>
  <w:style w:type="character" w:styleId="11">
    <w:name w:val="Верхний колонтитул Знак1"/>
    <w:basedOn w:val="DefaultParagraphFont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2">
    <w:name w:val="Текст примечания Знак1"/>
    <w:basedOn w:val="DefaultParagraphFont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4">
    <w:name w:val="Текст выноски Знак"/>
    <w:basedOn w:val="DefaultParagraphFont"/>
    <w:qFormat/>
    <w:rPr>
      <w:rFonts w:ascii="Segoe UI" w:hAnsi="Segoe UI" w:eastAsia="Times New Roman" w:cs="Segoe UI"/>
      <w:sz w:val="18"/>
      <w:szCs w:val="18"/>
      <w:lang w:eastAsia="ru-RU"/>
    </w:rPr>
  </w:style>
  <w:style w:type="character" w:styleId="Fontstyle01">
    <w:name w:val="fontstyle01"/>
    <w:qFormat/>
    <w:rPr>
      <w:rFonts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character" w:styleId="Style5">
    <w:name w:val="Тема примечания Знак"/>
    <w:basedOn w:val="Style3"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rong">
    <w:name w:val="Strong"/>
    <w:qFormat/>
    <w:rPr>
      <w:b/>
      <w:bCs/>
    </w:rPr>
  </w:style>
  <w:style w:type="character" w:styleId="Style6">
    <w:name w:val="Нижний колонтитул Знак"/>
    <w:basedOn w:val="DefaultParagraphFont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7">
    <w:name w:val="Заголовок Знак"/>
    <w:basedOn w:val="DefaultParagraphFont"/>
    <w:qFormat/>
    <w:rPr>
      <w:rFonts w:ascii="Times New Roman" w:hAnsi="Times New Roman" w:eastAsia="Times New Roman" w:cs="Times New Roman"/>
      <w:b/>
      <w:lang w:val="x-none" w:eastAsia="x-none"/>
    </w:rPr>
  </w:style>
  <w:style w:type="character" w:styleId="Style8">
    <w:name w:val="Ссылка указателя"/>
    <w:qFormat/>
    <w:rPr/>
  </w:style>
  <w:style w:type="character" w:styleId="Style9">
    <w:name w:val="Маркеры"/>
    <w:qFormat/>
    <w:rPr>
      <w:rFonts w:ascii="OpenSymbol" w:hAnsi="OpenSymbol" w:eastAsia="OpenSymbol" w:cs="OpenSymbol"/>
    </w:rPr>
  </w:style>
  <w:style w:type="character" w:styleId="Style10">
    <w:name w:val="Символ нумерации"/>
    <w:qFormat/>
    <w:rPr>
      <w:rFonts w:ascii="Times New Roman" w:hAnsi="Times New Roman"/>
      <w:b/>
      <w:bCs/>
      <w:sz w:val="24"/>
      <w:szCs w:val="24"/>
    </w:rPr>
  </w:style>
  <w:style w:type="character" w:styleId="13">
    <w:name w:val="Основной текст1"/>
    <w:basedOn w:val="DefaultParagraphFon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single"/>
      <w:lang w:val="ru-RU" w:eastAsia="ru-RU" w:bidi="ru-RU"/>
    </w:rPr>
  </w:style>
  <w:style w:type="character" w:styleId="Style11">
    <w:name w:val="Заголовок для сожерж Знак"/>
    <w:qFormat/>
    <w:rPr>
      <w:sz w:val="24"/>
      <w:szCs w:val="24"/>
    </w:rPr>
  </w:style>
  <w:style w:type="character" w:styleId="31">
    <w:name w:val="Основной текст с отступом 3 Знак"/>
    <w:qFormat/>
    <w:rPr>
      <w:sz w:val="16"/>
      <w:szCs w:val="16"/>
    </w:rPr>
  </w:style>
  <w:style w:type="character" w:styleId="14">
    <w:name w:val="Неразрешенное упоминание1"/>
    <w:basedOn w:val="DefaultParagraphFont"/>
    <w:qFormat/>
    <w:rPr>
      <w:color w:val="605E5C"/>
      <w:shd w:fill="E1DFDD" w:val="clear"/>
    </w:rPr>
  </w:style>
  <w:style w:type="character" w:styleId="15">
    <w:name w:val="УРОВЕНЬ_1. Знак"/>
    <w:qFormat/>
    <w:rPr>
      <w:rFonts w:eastAsia="Calibri"/>
      <w:caps/>
      <w:sz w:val="28"/>
      <w:szCs w:val="28"/>
      <w:lang w:eastAsia="en-US"/>
    </w:rPr>
  </w:style>
  <w:style w:type="character" w:styleId="21">
    <w:name w:val="Пункт2 Знак"/>
    <w:qFormat/>
    <w:rPr>
      <w:b/>
      <w:sz w:val="28"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Style12">
    <w:name w:val="Текст концевой сноски Знак"/>
    <w:basedOn w:val="DefaultParagraphFont"/>
    <w:qFormat/>
    <w:rPr/>
  </w:style>
  <w:style w:type="character" w:styleId="32">
    <w:name w:val="УРОВЕНЬ_Абзац_тип3 Знак"/>
    <w:qFormat/>
    <w:rPr>
      <w:rFonts w:eastAsia="Calibri"/>
      <w:sz w:val="26"/>
      <w:szCs w:val="28"/>
      <w:lang w:eastAsia="en-US"/>
    </w:rPr>
  </w:style>
  <w:style w:type="character" w:styleId="Style13">
    <w:name w:val="Подподпункт Знак"/>
    <w:qFormat/>
    <w:rPr>
      <w:sz w:val="26"/>
      <w:szCs w:val="26"/>
    </w:rPr>
  </w:style>
  <w:style w:type="character" w:styleId="Blk">
    <w:name w:val="blk"/>
    <w:qFormat/>
    <w:rPr/>
  </w:style>
  <w:style w:type="character" w:styleId="Style14">
    <w:name w:val="Основной текст Знак"/>
    <w:qFormat/>
    <w:rPr>
      <w:sz w:val="28"/>
      <w:szCs w:val="28"/>
    </w:rPr>
  </w:style>
  <w:style w:type="character" w:styleId="Style15">
    <w:name w:val="Текст сноски Знак"/>
    <w:qFormat/>
    <w:rPr/>
  </w:style>
  <w:style w:type="character" w:styleId="16">
    <w:name w:val="Подпункт Знак1"/>
    <w:qFormat/>
    <w:rPr>
      <w:sz w:val="28"/>
    </w:rPr>
  </w:style>
  <w:style w:type="character" w:styleId="Style16">
    <w:name w:val="Электронная подпись Знак"/>
    <w:qFormat/>
    <w:rPr>
      <w:rFonts w:eastAsia="Calibri"/>
      <w:sz w:val="24"/>
      <w:szCs w:val="24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Style17">
    <w:name w:val="Выделенная цитата Знак"/>
    <w:qFormat/>
    <w:rPr>
      <w:rFonts w:ascii="Calibri" w:hAnsi="Calibri" w:eastAsia="Calibri" w:cs="Calibri"/>
      <w:b/>
      <w:bCs/>
      <w:i/>
      <w:iCs/>
      <w:color w:val="4F81BD"/>
    </w:rPr>
  </w:style>
  <w:style w:type="character" w:styleId="22">
    <w:name w:val="Цитата 2 Знак"/>
    <w:qFormat/>
    <w:rPr>
      <w:rFonts w:ascii="Calibri" w:hAnsi="Calibri" w:eastAsia="Calibri" w:cs="Calibri"/>
      <w:i/>
      <w:iCs/>
      <w:color w:val="000000"/>
    </w:rPr>
  </w:style>
  <w:style w:type="character" w:styleId="Emphasis">
    <w:name w:val="Emphasis"/>
    <w:qFormat/>
    <w:rPr>
      <w:i/>
      <w:iCs/>
    </w:rPr>
  </w:style>
  <w:style w:type="character" w:styleId="Style18">
    <w:name w:val="Подзаголовок Знак"/>
    <w:qFormat/>
    <w:rPr>
      <w:rFonts w:ascii="Cambria" w:hAnsi="Cambria" w:eastAsia="Cambria" w:cs="Cambria"/>
      <w:i/>
      <w:iCs/>
      <w:color w:val="4F81BD"/>
      <w:spacing w:val="15"/>
      <w:sz w:val="24"/>
      <w:szCs w:val="24"/>
    </w:rPr>
  </w:style>
  <w:style w:type="character" w:styleId="Style19">
    <w:name w:val="Название Знак"/>
    <w:qFormat/>
    <w:rPr>
      <w:sz w:val="28"/>
    </w:rPr>
  </w:style>
  <w:style w:type="character" w:styleId="9">
    <w:name w:val="Заголовок 9 Знак"/>
    <w:qFormat/>
    <w:rPr>
      <w:rFonts w:ascii="Arial" w:hAnsi="Arial" w:eastAsia="Arial" w:cs="Arial"/>
      <w:sz w:val="22"/>
      <w:szCs w:val="22"/>
    </w:rPr>
  </w:style>
  <w:style w:type="character" w:styleId="5">
    <w:name w:val="Заголовок 5 Знак"/>
    <w:qFormat/>
    <w:rPr>
      <w:b/>
      <w:bCs/>
      <w:i/>
      <w:iCs/>
      <w:sz w:val="26"/>
      <w:szCs w:val="26"/>
    </w:rPr>
  </w:style>
  <w:style w:type="character" w:styleId="8">
    <w:name w:val="Заголовок 8 Знак"/>
    <w:qFormat/>
    <w:rPr>
      <w:rFonts w:ascii="Cambria" w:hAnsi="Cambria" w:eastAsia="Cambria" w:cs="Cambria"/>
      <w:color w:val="4F81BD"/>
    </w:rPr>
  </w:style>
  <w:style w:type="character" w:styleId="7">
    <w:name w:val="Заголовок 7 Знак"/>
    <w:qFormat/>
    <w:rPr>
      <w:rFonts w:ascii="Cambria" w:hAnsi="Cambria" w:eastAsia="Cambria" w:cs="Cambria"/>
      <w:i/>
      <w:iCs/>
      <w:color w:val="404040"/>
    </w:rPr>
  </w:style>
  <w:style w:type="character" w:styleId="6">
    <w:name w:val="Заголовок 6 Знак"/>
    <w:qFormat/>
    <w:rPr>
      <w:rFonts w:ascii="Cambria" w:hAnsi="Cambria" w:eastAsia="Cambria" w:cs="Cambria"/>
      <w:i/>
      <w:iCs/>
      <w:color w:val="243F60"/>
    </w:rPr>
  </w:style>
  <w:style w:type="character" w:styleId="Internetlink">
    <w:name w:val="Internet link"/>
    <w:qFormat/>
    <w:rPr>
      <w:color w:val="0000FF"/>
      <w:u w:val="single"/>
    </w:rPr>
  </w:style>
  <w:style w:type="character" w:styleId="Footnotereference">
    <w:name w:val="footnote reference"/>
    <w:qFormat/>
    <w:rPr>
      <w:vertAlign w:val="superscript"/>
    </w:rPr>
  </w:style>
  <w:style w:type="character" w:styleId="WW8Num17z0">
    <w:name w:val="WW8Num17z0"/>
    <w:qFormat/>
    <w:rPr>
      <w:rFonts w:ascii="Symbol" w:hAnsi="Symbol" w:cs="Symbol"/>
    </w:rPr>
  </w:style>
  <w:style w:type="character" w:styleId="WW8Num17z1">
    <w:name w:val="WW8Num17z1"/>
    <w:qFormat/>
    <w:rPr>
      <w:rFonts w:ascii="Times New Roman" w:hAnsi="Times New Roman" w:cs="Times New Roman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4">
    <w:name w:val="WW8Num17z4"/>
    <w:qFormat/>
    <w:rPr>
      <w:rFonts w:ascii="Courier New" w:hAnsi="Courier New" w:cs="Courier New"/>
    </w:rPr>
  </w:style>
  <w:style w:type="character" w:styleId="WW8Num24z0">
    <w:name w:val="WW8Num24z0"/>
    <w:qFormat/>
    <w:rPr>
      <w:rFonts w:ascii="Symbol" w:hAnsi="Symbol" w:cs="Symbol"/>
      <w:b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3">
    <w:name w:val="WW8Num24z3"/>
    <w:qFormat/>
    <w:rPr>
      <w:rFonts w:ascii="Symbol" w:hAnsi="Symbol" w:cs="Symbol"/>
    </w:rPr>
  </w:style>
  <w:style w:type="character" w:styleId="Style20">
    <w:name w:val="Основной шрифт абзаца"/>
    <w:qFormat/>
    <w:rPr/>
  </w:style>
  <w:style w:type="character" w:styleId="ConsPlusNormal">
    <w:name w:val="ConsPlusNormal Знак"/>
    <w:qFormat/>
    <w:rPr>
      <w:rFonts w:ascii="Arial" w:hAnsi="Arial" w:cs="Arial"/>
    </w:rPr>
  </w:style>
  <w:style w:type="character" w:styleId="33">
    <w:name w:val="Список мн 3 Знак"/>
    <w:qFormat/>
    <w:rPr>
      <w:spacing w:val="-4"/>
      <w:sz w:val="24"/>
      <w:szCs w:val="24"/>
      <w:shd w:fill="FFFFFF" w:val="clear"/>
      <w:lang w:val="x-none" w:eastAsia="x-none"/>
    </w:rPr>
  </w:style>
  <w:style w:type="character" w:styleId="111">
    <w:name w:val="УРОВЕНЬ_1.1.1. Знак"/>
    <w:qFormat/>
    <w:rPr>
      <w:rFonts w:eastAsia="Calibri"/>
      <w:sz w:val="26"/>
      <w:szCs w:val="28"/>
      <w:lang w:eastAsia="en-US"/>
    </w:rPr>
  </w:style>
  <w:style w:type="character" w:styleId="Style21">
    <w:name w:val="Основной текст с отступом Знак"/>
    <w:qFormat/>
    <w:rPr>
      <w:sz w:val="24"/>
      <w:szCs w:val="24"/>
    </w:rPr>
  </w:style>
  <w:style w:type="character" w:styleId="Style22">
    <w:name w:val="Схема документа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Linenumber">
    <w:name w:val="lin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Apple-converted-space">
    <w:name w:val="apple-converted-space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Apple-style-span">
    <w:name w:val="apple-style-span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Hl">
    <w:name w:val="hl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Footnotereference1">
    <w:name w:val="footnote reference1"/>
    <w:qFormat/>
    <w:rPr>
      <w:vertAlign w:val="superscript"/>
    </w:rPr>
  </w:style>
  <w:style w:type="paragraph" w:styleId="Style2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Lohit Devanagari"/>
    </w:rPr>
  </w:style>
  <w:style w:type="paragraph" w:styleId="Style25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Calibri" w:cs="Tahoma"/>
      <w:sz w:val="24"/>
      <w:szCs w:val="24"/>
      <w:lang w:eastAsia="en-US"/>
    </w:rPr>
  </w:style>
  <w:style w:type="paragraph" w:styleId="TOC1">
    <w:name w:val="TOC 1"/>
    <w:basedOn w:val="Normal"/>
    <w:autoRedefine/>
    <w:pPr>
      <w:tabs>
        <w:tab w:val="clear" w:pos="708"/>
        <w:tab w:val="left" w:pos="567" w:leader="none"/>
        <w:tab w:val="right" w:pos="9911" w:leader="dot"/>
      </w:tabs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autoRedefine/>
    <w:pPr>
      <w:ind w:left="280" w:right="0" w:hanging="0"/>
    </w:pPr>
    <w:rPr>
      <w:rFonts w:cs="Calibri"/>
      <w:sz w:val="20"/>
      <w:szCs w:val="20"/>
    </w:rPr>
  </w:style>
  <w:style w:type="paragraph" w:styleId="Annotationtext">
    <w:name w:val="annotation text"/>
    <w:basedOn w:val="Normal"/>
    <w:qFormat/>
    <w:pPr/>
    <w:rPr>
      <w:rFonts w:ascii="Calibri" w:hAnsi="Calibri" w:eastAsia="Calibri" w:cs="Tahoma"/>
      <w:sz w:val="22"/>
      <w:szCs w:val="22"/>
      <w:lang w:eastAsia="en-US"/>
    </w:rPr>
  </w:style>
  <w:style w:type="paragraph" w:styleId="TOC4">
    <w:name w:val="TOC 4"/>
    <w:basedOn w:val="Normal"/>
    <w:autoRedefine/>
    <w:pPr>
      <w:ind w:left="560" w:right="0" w:hanging="0"/>
    </w:pPr>
    <w:rPr>
      <w:rFonts w:cs="Calibri"/>
      <w:sz w:val="20"/>
      <w:szCs w:val="20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ListParagraph">
    <w:name w:val="List Paragraph"/>
    <w:basedOn w:val="Normal"/>
    <w:qFormat/>
    <w:pPr>
      <w:numPr>
        <w:ilvl w:val="0"/>
        <w:numId w:val="0"/>
      </w:numPr>
      <w:tabs>
        <w:tab w:val="clear" w:pos="708"/>
        <w:tab w:val="left" w:pos="288" w:leader="none"/>
      </w:tabs>
      <w:bidi w:val="0"/>
      <w:spacing w:before="0" w:after="0"/>
      <w:ind w:left="0" w:right="0" w:hanging="0"/>
      <w:contextualSpacing/>
      <w:jc w:val="center"/>
    </w:pPr>
    <w:rPr>
      <w:rFonts w:ascii="Times New Roman" w:hAnsi="Times New Roman" w:eastAsia="Calibri" w:cs="Times New Roman"/>
      <w:b/>
      <w:sz w:val="24"/>
      <w:szCs w:val="24"/>
      <w:lang w:eastAsia="en-US"/>
    </w:rPr>
  </w:style>
  <w:style w:type="paragraph" w:styleId="Style26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paragraph" w:styleId="TOC2">
    <w:name w:val="TOC 2"/>
    <w:basedOn w:val="Normal"/>
    <w:autoRedefine/>
    <w:pPr>
      <w:spacing w:before="0" w:after="100"/>
      <w:ind w:left="280" w:right="0" w:hanging="0"/>
    </w:pPr>
    <w:rPr/>
  </w:style>
  <w:style w:type="paragraph" w:styleId="Annotationsubject">
    <w:name w:val="annotation subject"/>
    <w:basedOn w:val="Annotationtext"/>
    <w:qFormat/>
    <w:pPr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  <w:jc w:val="center"/>
    </w:pPr>
    <w:rPr>
      <w:sz w:val="24"/>
      <w:szCs w:val="24"/>
    </w:rPr>
  </w:style>
  <w:style w:type="paragraph" w:styleId="17">
    <w:name w:val="Заголовок1"/>
    <w:basedOn w:val="Normal"/>
    <w:qFormat/>
    <w:pPr>
      <w:widowControl w:val="false"/>
      <w:spacing w:before="0" w:after="120"/>
      <w:jc w:val="center"/>
      <w:textAlignment w:val="baseline"/>
    </w:pPr>
    <w:rPr>
      <w:b/>
      <w:sz w:val="22"/>
      <w:szCs w:val="22"/>
      <w:lang w:val="x-none" w:eastAsia="x-none"/>
    </w:rPr>
  </w:style>
  <w:style w:type="paragraph" w:styleId="Style27">
    <w:name w:val="Содержимое врезки"/>
    <w:basedOn w:val="Normal"/>
    <w:qFormat/>
    <w:pPr/>
    <w:rPr/>
  </w:style>
  <w:style w:type="paragraph" w:styleId="Style28">
    <w:name w:val="Содержимое таблицы"/>
    <w:basedOn w:val="Normal"/>
    <w:qFormat/>
    <w:pPr/>
    <w:rPr/>
  </w:style>
  <w:style w:type="paragraph" w:styleId="Style29">
    <w:name w:val="Заголовок таблицы"/>
    <w:basedOn w:val="Style28"/>
    <w:qFormat/>
    <w:pPr/>
    <w:rPr/>
  </w:style>
  <w:style w:type="paragraph" w:styleId="Style30">
    <w:name w:val="Заголовок для сожерж"/>
    <w:basedOn w:val="Heading1"/>
    <w:qFormat/>
    <w:pPr>
      <w:spacing w:before="0" w:after="0"/>
      <w:outlineLvl w:val="9"/>
    </w:pPr>
    <w:rPr>
      <w:rFonts w:eastAsia="Times New Roman"/>
      <w:b w:val="false"/>
      <w:sz w:val="24"/>
      <w:szCs w:val="24"/>
    </w:rPr>
  </w:style>
  <w:style w:type="paragraph" w:styleId="Contents8">
    <w:name w:val="Contents 8"/>
    <w:basedOn w:val="Standard"/>
    <w:qFormat/>
    <w:pPr>
      <w:ind w:left="1680" w:right="0" w:hanging="0"/>
    </w:pPr>
    <w:rPr>
      <w:rFonts w:ascii="Calibri" w:hAnsi="Calibri" w:eastAsia="Calibri" w:cs="Calibri"/>
      <w:sz w:val="20"/>
      <w:szCs w:val="20"/>
    </w:rPr>
  </w:style>
  <w:style w:type="paragraph" w:styleId="Contents7">
    <w:name w:val="Contents 7"/>
    <w:basedOn w:val="Standard"/>
    <w:qFormat/>
    <w:pPr>
      <w:ind w:left="1400" w:right="0" w:hanging="0"/>
    </w:pPr>
    <w:rPr>
      <w:rFonts w:ascii="Calibri" w:hAnsi="Calibri" w:eastAsia="Calibri" w:cs="Calibri"/>
      <w:sz w:val="20"/>
      <w:szCs w:val="20"/>
    </w:rPr>
  </w:style>
  <w:style w:type="paragraph" w:styleId="Contents6">
    <w:name w:val="Contents 6"/>
    <w:basedOn w:val="Standard"/>
    <w:qFormat/>
    <w:pPr>
      <w:ind w:left="1120" w:right="0" w:hanging="0"/>
    </w:pPr>
    <w:rPr>
      <w:rFonts w:ascii="Calibri" w:hAnsi="Calibri" w:eastAsia="Calibri" w:cs="Calibri"/>
      <w:sz w:val="20"/>
      <w:szCs w:val="20"/>
    </w:rPr>
  </w:style>
  <w:style w:type="paragraph" w:styleId="18">
    <w:name w:val="УРОВЕНЬ_1."/>
    <w:basedOn w:val="ListParagraph"/>
    <w:qFormat/>
    <w:pPr>
      <w:keepNext w:val="true"/>
      <w:keepLines/>
      <w:numPr>
        <w:ilvl w:val="0"/>
        <w:numId w:val="0"/>
      </w:numPr>
      <w:spacing w:lineRule="auto" w:line="276" w:before="240" w:after="120"/>
      <w:ind w:left="0" w:righ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NormalWeb">
    <w:name w:val="Normal (Web)"/>
    <w:basedOn w:val="Standard"/>
    <w:qFormat/>
    <w:pPr>
      <w:spacing w:before="280" w:after="280"/>
    </w:pPr>
    <w:rPr>
      <w:sz w:val="24"/>
      <w:szCs w:val="24"/>
    </w:rPr>
  </w:style>
  <w:style w:type="paragraph" w:styleId="Style31">
    <w:name w:val="Таблица текст"/>
    <w:basedOn w:val="Standard"/>
    <w:qFormat/>
    <w:pPr>
      <w:spacing w:before="40" w:after="40"/>
      <w:ind w:left="57" w:right="57" w:hanging="0"/>
    </w:pPr>
    <w:rPr>
      <w:sz w:val="24"/>
      <w:szCs w:val="26"/>
    </w:rPr>
  </w:style>
  <w:style w:type="paragraph" w:styleId="23">
    <w:name w:val="Заголовок 2 КВВ"/>
    <w:basedOn w:val="Standard"/>
    <w:qFormat/>
    <w:pPr>
      <w:keepNext w:val="true"/>
      <w:numPr>
        <w:ilvl w:val="0"/>
        <w:numId w:val="0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Endnotetext">
    <w:name w:val="endnote text"/>
    <w:basedOn w:val="Standard"/>
    <w:qFormat/>
    <w:pPr/>
    <w:rPr>
      <w:sz w:val="20"/>
      <w:szCs w:val="20"/>
    </w:rPr>
  </w:style>
  <w:style w:type="paragraph" w:styleId="19">
    <w:name w:val="Стиль Заголовок 1 + по ширине"/>
    <w:basedOn w:val="Heading1"/>
    <w:qFormat/>
    <w:pPr>
      <w:keepLines/>
      <w:tabs>
        <w:tab w:val="clear" w:pos="708"/>
        <w:tab w:val="left" w:pos="1134" w:leader="none"/>
      </w:tabs>
      <w:spacing w:before="480" w:after="240"/>
      <w:ind w:left="567" w:right="0" w:hanging="567"/>
      <w:jc w:val="both"/>
      <w:outlineLvl w:val="9"/>
    </w:pPr>
    <w:rPr>
      <w:rFonts w:ascii="Arial" w:hAnsi="Arial" w:eastAsia="Times New Roman" w:cs="Arial"/>
      <w:bCs/>
      <w:sz w:val="40"/>
      <w:szCs w:val="20"/>
    </w:rPr>
  </w:style>
  <w:style w:type="paragraph" w:styleId="Style32">
    <w:name w:val="УРОВЕНЬ_Подпись"/>
    <w:basedOn w:val="ListParagraph"/>
    <w:qFormat/>
    <w:pPr>
      <w:keepNext w:val="true"/>
      <w:numPr>
        <w:ilvl w:val="0"/>
        <w:numId w:val="0"/>
      </w:numPr>
      <w:spacing w:lineRule="exact" w:line="360" w:before="120" w:after="120"/>
      <w:ind w:left="0" w:right="0" w:hanging="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34">
    <w:name w:val="УРОВЕНЬ_Абзац_тип3"/>
    <w:basedOn w:val="ListParagraph"/>
    <w:qFormat/>
    <w:p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24">
    <w:name w:val="УРОВЕНЬ_Абзац_тип2"/>
    <w:basedOn w:val="ListParagraph"/>
    <w:qFormat/>
    <w:p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-">
    <w:name w:val="УРОВЕНЬ_-"/>
    <w:basedOn w:val="ListParagraph"/>
    <w:qFormat/>
    <w:pPr>
      <w:numPr>
        <w:ilvl w:val="0"/>
        <w:numId w:val="0"/>
      </w:numPr>
      <w:spacing w:lineRule="exact" w:line="360" w:before="120" w:after="0"/>
      <w:ind w:left="0" w:right="0" w:hanging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Style33">
    <w:name w:val="УРОВЕНЬ_(а)"/>
    <w:basedOn w:val="ListParagraph"/>
    <w:qFormat/>
    <w:pPr>
      <w:numPr>
        <w:ilvl w:val="0"/>
        <w:numId w:val="0"/>
      </w:numPr>
      <w:spacing w:lineRule="exact" w:line="360" w:before="120" w:after="0"/>
      <w:ind w:left="0" w:right="0" w:hanging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Style34">
    <w:name w:val="Подподпункт"/>
    <w:basedOn w:val="Style41"/>
    <w:qFormat/>
    <w:pPr>
      <w:tabs>
        <w:tab w:val="clear" w:pos="2268"/>
        <w:tab w:val="left" w:pos="10208" w:leader="none"/>
      </w:tabs>
      <w:snapToGrid w:val="true"/>
      <w:spacing w:lineRule="auto" w:line="240" w:before="120" w:after="0"/>
      <w:ind w:left="5104" w:right="0" w:hanging="567"/>
    </w:pPr>
    <w:rPr>
      <w:sz w:val="26"/>
      <w:szCs w:val="26"/>
    </w:rPr>
  </w:style>
  <w:style w:type="paragraph" w:styleId="Style35">
    <w:name w:val="Таблица"/>
    <w:basedOn w:val="Standard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110">
    <w:name w:val="Абзац списка1"/>
    <w:basedOn w:val="Standard"/>
    <w:qFormat/>
    <w:pPr>
      <w:spacing w:lineRule="auto" w:line="276" w:before="0" w:after="200"/>
      <w:ind w:left="720" w:right="0" w:hanging="0"/>
    </w:pPr>
    <w:rPr>
      <w:rFonts w:ascii="Calibri" w:hAnsi="Calibri" w:eastAsia="Calibri" w:cs="Calibri"/>
      <w:sz w:val="22"/>
      <w:szCs w:val="22"/>
      <w:lang w:eastAsia="en-US"/>
    </w:rPr>
  </w:style>
  <w:style w:type="paragraph" w:styleId="Style36">
    <w:name w:val="Пункт"/>
    <w:basedOn w:val="Standard"/>
    <w:qFormat/>
    <w:pPr>
      <w:widowControl w:val="false"/>
      <w:tabs>
        <w:tab w:val="clear" w:pos="708"/>
        <w:tab w:val="left" w:pos="2268" w:leader="none"/>
      </w:tabs>
      <w:spacing w:lineRule="auto" w:line="360" w:before="120" w:after="0"/>
      <w:ind w:left="1134" w:right="800" w:hanging="1134"/>
      <w:jc w:val="both"/>
    </w:pPr>
    <w:rPr>
      <w:rFonts w:ascii="Arial" w:hAnsi="Arial" w:eastAsia="Arial" w:cs="Arial"/>
      <w:b/>
      <w:i/>
      <w:szCs w:val="20"/>
    </w:rPr>
  </w:style>
  <w:style w:type="paragraph" w:styleId="35">
    <w:name w:val="Знак Знак3 Знак Знак"/>
    <w:basedOn w:val="Standard"/>
    <w:qFormat/>
    <w:pPr>
      <w:spacing w:lineRule="exact" w:line="240" w:before="0" w:after="160"/>
      <w:jc w:val="both"/>
    </w:pPr>
    <w:rPr>
      <w:rFonts w:ascii="Verdana" w:hAnsi="Verdana" w:eastAsia="Verdana" w:cs="Verdana"/>
      <w:sz w:val="22"/>
      <w:szCs w:val="22"/>
      <w:lang w:val="en-US" w:eastAsia="en-US"/>
    </w:rPr>
  </w:style>
  <w:style w:type="paragraph" w:styleId="ConsPlusNormal1">
    <w:name w:val="ConsPlusNormal"/>
    <w:qFormat/>
    <w:pPr>
      <w:widowControl/>
      <w:kinsoku w:val="true"/>
      <w:overflowPunct w:val="true"/>
      <w:autoSpaceDE w:val="true"/>
      <w:bidi w:val="0"/>
      <w:ind w:left="0" w:right="0" w:firstLine="720"/>
      <w:jc w:val="left"/>
    </w:pPr>
    <w:rPr>
      <w:rFonts w:ascii="Arial" w:hAnsi="Arial" w:eastAsia="Arial" w:cs="Arial"/>
      <w:color w:val="auto"/>
      <w:kern w:val="2"/>
      <w:sz w:val="28"/>
      <w:szCs w:val="22"/>
      <w:lang w:val="ru-RU" w:eastAsia="en-US" w:bidi="ar-SA"/>
    </w:rPr>
  </w:style>
  <w:style w:type="paragraph" w:styleId="Revision">
    <w:name w:val="Revision"/>
    <w:qFormat/>
    <w:pPr>
      <w:widowControl/>
      <w:kinsoku w:val="true"/>
      <w:overflowPunct w:val="true"/>
      <w:autoSpaceDE w:val="true"/>
      <w:bidi w:val="0"/>
      <w:jc w:val="left"/>
    </w:pPr>
    <w:rPr>
      <w:rFonts w:eastAsia="Calibri" w:ascii="Calibri" w:hAnsi="Calibri" w:cs="Tahoma"/>
      <w:color w:val="auto"/>
      <w:kern w:val="2"/>
      <w:sz w:val="24"/>
      <w:szCs w:val="24"/>
      <w:lang w:val="ru-RU" w:eastAsia="en-US" w:bidi="ar-SA"/>
    </w:rPr>
  </w:style>
  <w:style w:type="paragraph" w:styleId="25">
    <w:name w:val="Нумерованный список ур2"/>
    <w:basedOn w:val="Standard"/>
    <w:qFormat/>
    <w:pPr>
      <w:spacing w:before="120" w:after="0"/>
      <w:jc w:val="both"/>
    </w:pPr>
    <w:rPr>
      <w:rFonts w:ascii="Garamond" w:hAnsi="Garamond" w:eastAsia="Garamond" w:cs="Garamond"/>
      <w:sz w:val="24"/>
      <w:szCs w:val="20"/>
    </w:rPr>
  </w:style>
  <w:style w:type="paragraph" w:styleId="List3">
    <w:name w:val="List 3"/>
    <w:basedOn w:val="Standard"/>
    <w:pPr>
      <w:spacing w:before="120" w:after="0"/>
      <w:jc w:val="both"/>
    </w:pPr>
    <w:rPr>
      <w:rFonts w:ascii="Garamond" w:hAnsi="Garamond" w:eastAsia="Garamond" w:cs="Garamond"/>
      <w:sz w:val="24"/>
      <w:szCs w:val="20"/>
    </w:rPr>
  </w:style>
  <w:style w:type="paragraph" w:styleId="36">
    <w:name w:val="Нумерованный список ур3"/>
    <w:basedOn w:val="Standard"/>
    <w:qFormat/>
    <w:pPr>
      <w:jc w:val="both"/>
    </w:pPr>
    <w:rPr>
      <w:rFonts w:ascii="Garamond" w:hAnsi="Garamond" w:eastAsia="Garamond" w:cs="Garamond"/>
      <w:sz w:val="24"/>
      <w:szCs w:val="20"/>
    </w:rPr>
  </w:style>
  <w:style w:type="paragraph" w:styleId="Style37">
    <w:name w:val="Знак"/>
    <w:basedOn w:val="Standard"/>
    <w:qFormat/>
    <w:pPr>
      <w:spacing w:lineRule="exact" w:line="240" w:before="0" w:after="160"/>
    </w:pPr>
    <w:rPr>
      <w:rFonts w:ascii="Verdana" w:hAnsi="Verdana" w:eastAsia="Verdana" w:cs="Verdana"/>
      <w:sz w:val="20"/>
      <w:szCs w:val="20"/>
      <w:lang w:val="en-US" w:eastAsia="en-US"/>
    </w:rPr>
  </w:style>
  <w:style w:type="paragraph" w:styleId="E-mailSignature">
    <w:name w:val="E-mail Signature"/>
    <w:basedOn w:val="Standard"/>
    <w:qFormat/>
    <w:pPr/>
    <w:rPr>
      <w:rFonts w:eastAsia="Calibri"/>
      <w:sz w:val="24"/>
      <w:szCs w:val="24"/>
    </w:rPr>
  </w:style>
  <w:style w:type="paragraph" w:styleId="TOCHeading">
    <w:name w:val="TOC Heading"/>
    <w:basedOn w:val="Heading1"/>
    <w:qFormat/>
    <w:pPr>
      <w:keepLines/>
      <w:spacing w:before="480" w:after="60"/>
      <w:outlineLvl w:val="9"/>
    </w:pPr>
    <w:rPr>
      <w:rFonts w:ascii="Cambria" w:hAnsi="Cambria" w:eastAsia="Cambria" w:cs="Cambria"/>
      <w:bCs/>
      <w:color w:val="365F91"/>
    </w:rPr>
  </w:style>
  <w:style w:type="paragraph" w:styleId="IntenseQuote">
    <w:name w:val="Intense Quote"/>
    <w:basedOn w:val="Standard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 w:cs="Calibri"/>
      <w:b/>
      <w:bCs/>
      <w:i/>
      <w:iCs/>
      <w:color w:val="4F81BD"/>
      <w:sz w:val="20"/>
      <w:szCs w:val="20"/>
    </w:rPr>
  </w:style>
  <w:style w:type="paragraph" w:styleId="Quote">
    <w:name w:val="Quote"/>
    <w:basedOn w:val="Standard"/>
    <w:qFormat/>
    <w:pPr/>
    <w:rPr>
      <w:rFonts w:ascii="Calibri" w:hAnsi="Calibri" w:eastAsia="Calibri" w:cs="Calibri"/>
      <w:i/>
      <w:iCs/>
      <w:color w:val="000000"/>
      <w:sz w:val="20"/>
      <w:szCs w:val="20"/>
    </w:rPr>
  </w:style>
  <w:style w:type="paragraph" w:styleId="Subtitle">
    <w:name w:val="Subtitle"/>
    <w:basedOn w:val="Standard"/>
    <w:qFormat/>
    <w:pPr>
      <w:ind w:left="1066" w:right="0" w:firstLine="709"/>
    </w:pPr>
    <w:rPr>
      <w:rFonts w:ascii="Cambria" w:hAnsi="Cambria" w:eastAsia="Cambria" w:cs="Cambria"/>
      <w:i/>
      <w:iCs/>
      <w:color w:val="4F81BD"/>
      <w:spacing w:val="15"/>
      <w:sz w:val="24"/>
      <w:szCs w:val="24"/>
    </w:rPr>
  </w:style>
  <w:style w:type="paragraph" w:styleId="Style38">
    <w:name w:val="Знак Знак Знак Знак Знак Знак Знак Знак Знак"/>
    <w:basedOn w:val="Standard"/>
    <w:qFormat/>
    <w:pPr>
      <w:spacing w:lineRule="exact" w:line="240" w:before="0" w:after="160"/>
      <w:jc w:val="both"/>
    </w:pPr>
    <w:rPr>
      <w:rFonts w:ascii="Verdana" w:hAnsi="Verdana" w:eastAsia="Verdana" w:cs="Verdana"/>
      <w:sz w:val="22"/>
      <w:szCs w:val="22"/>
      <w:lang w:val="en-US" w:eastAsia="en-US"/>
    </w:rPr>
  </w:style>
  <w:style w:type="paragraph" w:styleId="26">
    <w:name w:val="Раздел положения 2"/>
    <w:basedOn w:val="Standard"/>
    <w:qFormat/>
    <w:pPr>
      <w:pageBreakBefore/>
      <w:numPr>
        <w:ilvl w:val="0"/>
        <w:numId w:val="0"/>
      </w:numPr>
      <w:jc w:val="both"/>
      <w:outlineLvl w:val="0"/>
    </w:pPr>
    <w:rPr>
      <w:b/>
    </w:rPr>
  </w:style>
  <w:style w:type="paragraph" w:styleId="Contents4">
    <w:name w:val="Contents 4"/>
    <w:basedOn w:val="Standard"/>
    <w:qFormat/>
    <w:pPr>
      <w:tabs>
        <w:tab w:val="clear" w:pos="708"/>
        <w:tab w:val="left" w:pos="560" w:leader="none"/>
        <w:tab w:val="left" w:pos="1120" w:leader="none"/>
        <w:tab w:val="right" w:pos="9911" w:leader="dot"/>
      </w:tabs>
      <w:ind w:left="0" w:right="0" w:firstLine="567"/>
    </w:pPr>
    <w:rPr>
      <w:rFonts w:cs="Calibri"/>
      <w:sz w:val="20"/>
      <w:szCs w:val="20"/>
    </w:rPr>
  </w:style>
  <w:style w:type="paragraph" w:styleId="Contents5">
    <w:name w:val="Contents 5"/>
    <w:basedOn w:val="Standard"/>
    <w:qFormat/>
    <w:pPr>
      <w:ind w:left="840" w:right="0" w:hanging="0"/>
    </w:pPr>
    <w:rPr>
      <w:rFonts w:ascii="Calibri" w:hAnsi="Calibri" w:eastAsia="Calibri" w:cs="Calibri"/>
      <w:sz w:val="20"/>
      <w:szCs w:val="20"/>
    </w:rPr>
  </w:style>
  <w:style w:type="paragraph" w:styleId="Contents9">
    <w:name w:val="Contents 9"/>
    <w:basedOn w:val="Standard"/>
    <w:qFormat/>
    <w:pPr>
      <w:ind w:left="1960" w:right="0" w:hanging="0"/>
    </w:pPr>
    <w:rPr>
      <w:rFonts w:ascii="Calibri" w:hAnsi="Calibri" w:eastAsia="Calibri" w:cs="Calibri"/>
      <w:sz w:val="20"/>
      <w:szCs w:val="20"/>
    </w:rPr>
  </w:style>
  <w:style w:type="paragraph" w:styleId="112">
    <w:name w:val="Обычный (веб)1"/>
    <w:basedOn w:val="Standard"/>
    <w:qFormat/>
    <w:pPr>
      <w:spacing w:before="280" w:after="280"/>
    </w:pPr>
    <w:rPr>
      <w:rFonts w:ascii="Arial Unicode MS" w:hAnsi="Arial Unicode MS" w:eastAsia="Arial Unicode MS" w:cs="Arial Unicode MS"/>
      <w:sz w:val="24"/>
      <w:szCs w:val="24"/>
    </w:rPr>
  </w:style>
  <w:style w:type="paragraph" w:styleId="Contents2">
    <w:name w:val="Contents 2"/>
    <w:basedOn w:val="Standard"/>
    <w:qFormat/>
    <w:pPr>
      <w:spacing w:before="240" w:after="0"/>
    </w:pPr>
    <w:rPr>
      <w:rFonts w:cs="Calibri"/>
      <w:b/>
      <w:bCs/>
      <w:sz w:val="20"/>
      <w:szCs w:val="20"/>
    </w:rPr>
  </w:style>
  <w:style w:type="paragraph" w:styleId="Style39">
    <w:name w:val="Приложение к регламенту"/>
    <w:basedOn w:val="Standard"/>
    <w:qFormat/>
    <w:pPr>
      <w:jc w:val="right"/>
    </w:pPr>
    <w:rPr/>
  </w:style>
  <w:style w:type="paragraph" w:styleId="Style40">
    <w:name w:val="Раздел регламента"/>
    <w:basedOn w:val="Standard"/>
    <w:qFormat/>
    <w:pPr/>
    <w:rPr/>
  </w:style>
  <w:style w:type="paragraph" w:styleId="Contents3">
    <w:name w:val="Contents 3"/>
    <w:basedOn w:val="Standard"/>
    <w:qFormat/>
    <w:pPr>
      <w:tabs>
        <w:tab w:val="clear" w:pos="708"/>
        <w:tab w:val="left" w:pos="560" w:leader="none"/>
        <w:tab w:val="left" w:pos="1120" w:leader="none"/>
        <w:tab w:val="right" w:pos="9911" w:leader="dot"/>
      </w:tabs>
      <w:ind w:left="0" w:right="0" w:firstLine="567"/>
    </w:pPr>
    <w:rPr>
      <w:rFonts w:cs="Calibri"/>
      <w:sz w:val="20"/>
      <w:szCs w:val="20"/>
    </w:rPr>
  </w:style>
  <w:style w:type="paragraph" w:styleId="Contents1">
    <w:name w:val="Contents 1"/>
    <w:basedOn w:val="Standard"/>
    <w:qFormat/>
    <w:pPr>
      <w:tabs>
        <w:tab w:val="clear" w:pos="708"/>
        <w:tab w:val="left" w:pos="560" w:leader="none"/>
        <w:tab w:val="right" w:pos="9911" w:leader="dot"/>
      </w:tabs>
      <w:ind w:left="0" w:right="0" w:firstLine="142"/>
    </w:pPr>
    <w:rPr>
      <w:rFonts w:cs="Calibri Light (Заголовки)"/>
      <w:b/>
      <w:bCs/>
      <w:sz w:val="24"/>
      <w:szCs w:val="24"/>
    </w:rPr>
  </w:style>
  <w:style w:type="paragraph" w:styleId="27">
    <w:name w:val="Пункт2"/>
    <w:basedOn w:val="Standard"/>
    <w:qFormat/>
    <w:pPr>
      <w:keepNext w:val="true"/>
      <w:numPr>
        <w:ilvl w:val="0"/>
        <w:numId w:val="0"/>
      </w:numPr>
      <w:tabs>
        <w:tab w:val="clear" w:pos="708"/>
        <w:tab w:val="left" w:pos="2268" w:leader="none"/>
      </w:tabs>
      <w:snapToGrid w:val="false"/>
      <w:spacing w:before="240" w:after="120"/>
      <w:ind w:left="1134" w:right="0" w:hanging="1134"/>
      <w:outlineLvl w:val="2"/>
    </w:pPr>
    <w:rPr>
      <w:b/>
      <w:szCs w:val="20"/>
    </w:rPr>
  </w:style>
  <w:style w:type="paragraph" w:styleId="Style41">
    <w:name w:val="Подпункт"/>
    <w:basedOn w:val="Standard"/>
    <w:qFormat/>
    <w:pPr>
      <w:tabs>
        <w:tab w:val="clear" w:pos="708"/>
        <w:tab w:val="left" w:pos="2268" w:leader="none"/>
      </w:tabs>
      <w:snapToGrid w:val="false"/>
      <w:spacing w:lineRule="auto" w:line="360"/>
      <w:ind w:left="1134" w:right="0" w:hanging="1134"/>
      <w:jc w:val="both"/>
    </w:pPr>
    <w:rPr>
      <w:szCs w:val="20"/>
    </w:rPr>
  </w:style>
  <w:style w:type="paragraph" w:styleId="BlockText">
    <w:name w:val="Block Text"/>
    <w:basedOn w:val="Standard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BodyTextIndent3">
    <w:name w:val="Body Text Indent 3"/>
    <w:basedOn w:val="Standard"/>
    <w:qFormat/>
    <w:pPr>
      <w:spacing w:before="0" w:after="120"/>
      <w:ind w:left="283" w:right="0" w:hanging="0"/>
    </w:pPr>
    <w:rPr>
      <w:sz w:val="16"/>
      <w:szCs w:val="16"/>
    </w:rPr>
  </w:style>
  <w:style w:type="paragraph" w:styleId="BodyText3">
    <w:name w:val="Body Text 3"/>
    <w:basedOn w:val="Standard"/>
    <w:qFormat/>
    <w:pPr>
      <w:spacing w:before="0" w:after="120"/>
    </w:pPr>
    <w:rPr>
      <w:sz w:val="16"/>
      <w:szCs w:val="16"/>
    </w:rPr>
  </w:style>
  <w:style w:type="paragraph" w:styleId="BodyTextIndent2">
    <w:name w:val="Body Text Indent 2"/>
    <w:basedOn w:val="Standard"/>
    <w:qFormat/>
    <w:pPr>
      <w:spacing w:lineRule="auto" w:line="480" w:before="0" w:after="120"/>
      <w:ind w:left="283" w:right="0" w:hanging="0"/>
    </w:pPr>
    <w:rPr/>
  </w:style>
  <w:style w:type="paragraph" w:styleId="Textbodyindent">
    <w:name w:val="Text body indent"/>
    <w:basedOn w:val="Standard"/>
    <w:qFormat/>
    <w:pPr>
      <w:ind w:left="360" w:right="0" w:hanging="0"/>
    </w:pPr>
    <w:rPr>
      <w:sz w:val="24"/>
      <w:szCs w:val="24"/>
    </w:rPr>
  </w:style>
  <w:style w:type="paragraph" w:styleId="113">
    <w:name w:val="Название1"/>
    <w:basedOn w:val="Standard"/>
    <w:qFormat/>
    <w:pPr>
      <w:jc w:val="center"/>
    </w:pPr>
    <w:rPr>
      <w:szCs w:val="20"/>
    </w:rPr>
  </w:style>
  <w:style w:type="paragraph" w:styleId="37">
    <w:name w:val="Шапка 3"/>
    <w:basedOn w:val="Standard"/>
    <w:qFormat/>
    <w:pPr>
      <w:pBdr>
        <w:bottom w:val="double" w:sz="12" w:space="1" w:color="00000A"/>
      </w:pBdr>
      <w:spacing w:before="240" w:after="360"/>
      <w:jc w:val="center"/>
    </w:pPr>
    <w:rPr>
      <w:b/>
      <w:sz w:val="24"/>
      <w:szCs w:val="24"/>
    </w:rPr>
  </w:style>
  <w:style w:type="paragraph" w:styleId="28">
    <w:name w:val="Шапка 2"/>
    <w:basedOn w:val="Standard"/>
    <w:qFormat/>
    <w:pPr>
      <w:pBdr>
        <w:bottom w:val="double" w:sz="12" w:space="1" w:color="00000A"/>
      </w:pBdr>
      <w:spacing w:before="0" w:after="120"/>
      <w:jc w:val="center"/>
    </w:pPr>
    <w:rPr>
      <w:b/>
      <w:sz w:val="22"/>
      <w:szCs w:val="22"/>
    </w:rPr>
  </w:style>
  <w:style w:type="paragraph" w:styleId="114">
    <w:name w:val="Шапка 1"/>
    <w:basedOn w:val="Standard"/>
    <w:qFormat/>
    <w:pPr>
      <w:pBdr>
        <w:bottom w:val="double" w:sz="12" w:space="1" w:color="00000A"/>
      </w:pBdr>
      <w:spacing w:before="0" w:after="240"/>
      <w:jc w:val="center"/>
    </w:pPr>
    <w:rPr>
      <w:sz w:val="22"/>
      <w:szCs w:val="22"/>
    </w:rPr>
  </w:style>
  <w:style w:type="paragraph" w:styleId="Footnotetext">
    <w:name w:val="footnote text"/>
    <w:basedOn w:val="Standard"/>
    <w:qFormat/>
    <w:pPr/>
    <w:rPr>
      <w:sz w:val="20"/>
      <w:szCs w:val="20"/>
    </w:rPr>
  </w:style>
  <w:style w:type="paragraph" w:styleId="Style42">
    <w:name w:val="Подраздел раздела положения"/>
    <w:basedOn w:val="Standard"/>
    <w:qFormat/>
    <w:pPr>
      <w:spacing w:before="80" w:after="80"/>
      <w:jc w:val="both"/>
    </w:pPr>
    <w:rPr/>
  </w:style>
  <w:style w:type="paragraph" w:styleId="Style43">
    <w:name w:val="Раздел положения"/>
    <w:basedOn w:val="Standard"/>
    <w:qFormat/>
    <w:pPr>
      <w:spacing w:before="80" w:after="80"/>
      <w:jc w:val="center"/>
    </w:pPr>
    <w:rPr>
      <w:b/>
      <w:sz w:val="32"/>
      <w:szCs w:val="32"/>
    </w:rPr>
  </w:style>
  <w:style w:type="paragraph" w:styleId="Style44">
    <w:name w:val="Название раздела инструкции"/>
    <w:basedOn w:val="Standard"/>
    <w:qFormat/>
    <w:pPr>
      <w:jc w:val="center"/>
    </w:pPr>
    <w:rPr>
      <w:b/>
    </w:rPr>
  </w:style>
  <w:style w:type="paragraph" w:styleId="Caption1">
    <w:name w:val="caption1"/>
    <w:basedOn w:val="Standard"/>
    <w:qFormat/>
    <w:pPr/>
    <w:rPr>
      <w:rFonts w:eastAsia="Calibri"/>
      <w:b/>
      <w:bCs/>
      <w:color w:val="4F81BD"/>
      <w:sz w:val="18"/>
      <w:szCs w:val="18"/>
    </w:rPr>
  </w:style>
  <w:style w:type="paragraph" w:styleId="Textbody">
    <w:name w:val="Text body"/>
    <w:basedOn w:val="Standard"/>
    <w:qFormat/>
    <w:pPr>
      <w:spacing w:before="0" w:after="120"/>
    </w:pPr>
    <w:rPr/>
  </w:style>
  <w:style w:type="paragraph" w:styleId="Standard">
    <w:name w:val="Standard"/>
    <w:qFormat/>
    <w:pPr>
      <w:widowControl/>
      <w:kinsoku w:val="true"/>
      <w:overflowPunct w:val="true"/>
      <w:autoSpaceDE w:val="true"/>
      <w:bidi w:val="0"/>
      <w:jc w:val="left"/>
    </w:pPr>
    <w:rPr>
      <w:rFonts w:ascii="Calibri" w:hAnsi="Calibri" w:eastAsia="Calibri" w:cs="Tahoma"/>
      <w:color w:val="auto"/>
      <w:kern w:val="2"/>
      <w:sz w:val="28"/>
      <w:szCs w:val="22"/>
      <w:lang w:val="ru-RU" w:eastAsia="en-US" w:bidi="ar-SA"/>
    </w:rPr>
  </w:style>
  <w:style w:type="paragraph" w:styleId="Style45">
    <w:name w:val="Абзац списка"/>
    <w:basedOn w:val="Standard"/>
    <w:qFormat/>
    <w:pPr>
      <w:spacing w:before="60" w:after="0"/>
      <w:ind w:left="720" w:right="0" w:hanging="0"/>
    </w:pPr>
    <w:rPr/>
  </w:style>
  <w:style w:type="paragraph" w:styleId="Caption11">
    <w:name w:val="caption11"/>
    <w:basedOn w:val="Standard"/>
    <w:qFormat/>
    <w:pPr>
      <w:spacing w:lineRule="auto" w:line="240" w:before="0" w:after="0"/>
    </w:pPr>
    <w:rPr>
      <w:rFonts w:eastAsia="Calibri"/>
      <w:b/>
      <w:bCs/>
      <w:color w:val="4F81BD"/>
      <w:sz w:val="18"/>
      <w:szCs w:val="18"/>
    </w:rPr>
  </w:style>
  <w:style w:type="paragraph" w:styleId="Style81">
    <w:name w:val="Style8"/>
    <w:basedOn w:val="Normal"/>
    <w:qFormat/>
    <w:pPr>
      <w:widowControl w:val="false"/>
      <w:spacing w:lineRule="exact" w:line="298"/>
      <w:jc w:val="both"/>
    </w:pPr>
    <w:rPr>
      <w:sz w:val="24"/>
      <w:szCs w:val="24"/>
    </w:rPr>
  </w:style>
  <w:style w:type="paragraph" w:styleId="38">
    <w:name w:val="Список мн 3"/>
    <w:qFormat/>
    <w:pPr>
      <w:widowControl w:val="false"/>
      <w:shd w:fill="FFFFFF" w:val="clear"/>
      <w:tabs>
        <w:tab w:val="clear" w:pos="708"/>
        <w:tab w:val="left" w:pos="1341" w:leader="none"/>
      </w:tabs>
      <w:kinsoku w:val="true"/>
      <w:overflowPunct w:val="true"/>
      <w:autoSpaceDE w:val="true"/>
      <w:bidi w:val="0"/>
      <w:spacing w:before="120" w:after="60"/>
      <w:ind w:left="-20" w:firstLine="720"/>
      <w:jc w:val="both"/>
    </w:pPr>
    <w:rPr>
      <w:rFonts w:ascii="Calibri" w:hAnsi="Calibri" w:eastAsia="Calibri" w:cs="Tahoma"/>
      <w:color w:val="auto"/>
      <w:spacing w:val="-4"/>
      <w:kern w:val="2"/>
      <w:sz w:val="24"/>
      <w:szCs w:val="24"/>
      <w:lang w:val="x-none" w:eastAsia="x-none" w:bidi="ar-SA"/>
    </w:rPr>
  </w:style>
  <w:style w:type="paragraph" w:styleId="115">
    <w:name w:val="УРОВЕНЬ_Абзац_тип1"/>
    <w:qFormat/>
    <w:pPr>
      <w:widowControl w:val="false"/>
      <w:tabs>
        <w:tab w:val="clear" w:pos="708"/>
        <w:tab w:val="left" w:pos="2592" w:leader="none"/>
      </w:tabs>
      <w:kinsoku w:val="true"/>
      <w:overflowPunct w:val="true"/>
      <w:autoSpaceDE w:val="true"/>
      <w:bidi w:val="0"/>
      <w:spacing w:lineRule="exact" w:line="360" w:before="120" w:after="0"/>
      <w:ind w:left="2592" w:hanging="1152"/>
      <w:jc w:val="both"/>
    </w:pPr>
    <w:rPr>
      <w:rFonts w:eastAsia="Calibri" w:ascii="Calibri" w:hAnsi="Calibri" w:cs="Tahoma"/>
      <w:color w:val="auto"/>
      <w:kern w:val="2"/>
      <w:sz w:val="26"/>
      <w:szCs w:val="22"/>
      <w:lang w:eastAsia="en-US" w:val="ru-RU" w:bidi="ar-SA"/>
    </w:rPr>
  </w:style>
  <w:style w:type="paragraph" w:styleId="1111">
    <w:name w:val="УРОВЕНЬ_1.1.1."/>
    <w:qFormat/>
    <w:pPr>
      <w:widowControl w:val="false"/>
      <w:kinsoku w:val="true"/>
      <w:overflowPunct w:val="true"/>
      <w:autoSpaceDE w:val="true"/>
      <w:bidi w:val="0"/>
      <w:spacing w:lineRule="exact" w:line="360" w:before="120" w:after="0"/>
      <w:ind w:left="1134" w:hanging="1134"/>
      <w:jc w:val="both"/>
    </w:pPr>
    <w:rPr>
      <w:rFonts w:eastAsia="Calibri" w:ascii="Calibri" w:hAnsi="Calibri" w:cs="Tahoma"/>
      <w:color w:val="auto"/>
      <w:kern w:val="2"/>
      <w:sz w:val="26"/>
      <w:szCs w:val="22"/>
      <w:lang w:eastAsia="en-US" w:val="ru-RU" w:bidi="ar-SA"/>
    </w:rPr>
  </w:style>
  <w:style w:type="paragraph" w:styleId="116">
    <w:name w:val="УРОВЕНЬ_1.1."/>
    <w:qFormat/>
    <w:pPr>
      <w:keepNext w:val="true"/>
      <w:widowControl w:val="false"/>
      <w:tabs>
        <w:tab w:val="clear" w:pos="708"/>
        <w:tab w:val="left" w:pos="1844" w:leader="none"/>
      </w:tabs>
      <w:kinsoku w:val="true"/>
      <w:overflowPunct w:val="true"/>
      <w:autoSpaceDE w:val="true"/>
      <w:bidi w:val="0"/>
      <w:spacing w:lineRule="exact" w:line="360" w:before="240" w:after="0"/>
      <w:ind w:left="1844" w:hanging="567"/>
      <w:jc w:val="both"/>
    </w:pPr>
    <w:rPr>
      <w:rFonts w:eastAsia="Calibri" w:ascii="Calibri" w:hAnsi="Calibri" w:cs="Tahoma"/>
      <w:b/>
      <w:color w:val="auto"/>
      <w:kern w:val="2"/>
      <w:sz w:val="26"/>
      <w:szCs w:val="22"/>
      <w:lang w:eastAsia="en-US" w:val="ru-RU" w:bidi="ar-SA"/>
    </w:rPr>
  </w:style>
  <w:style w:type="paragraph" w:styleId="Style46">
    <w:name w:val="Знак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DocumentMap">
    <w:name w:val="Document Map"/>
    <w:basedOn w:val="Normal"/>
    <w:qFormat/>
    <w:pPr/>
    <w:rPr>
      <w:rFonts w:ascii="Tahoma" w:hAnsi="Tahoma" w:cs="Tahoma"/>
      <w:sz w:val="16"/>
      <w:szCs w:val="16"/>
    </w:rPr>
  </w:style>
  <w:style w:type="paragraph" w:styleId="39">
    <w:name w:val="Пункт_3"/>
    <w:basedOn w:val="Normal"/>
    <w:qFormat/>
    <w:pPr>
      <w:tabs>
        <w:tab w:val="clear" w:pos="708"/>
        <w:tab w:val="left" w:pos="1134" w:leader="none"/>
      </w:tabs>
      <w:spacing w:lineRule="auto" w:line="360"/>
      <w:ind w:left="1134" w:hanging="1133"/>
      <w:jc w:val="both"/>
    </w:pPr>
    <w:rPr>
      <w:szCs w:val="20"/>
    </w:rPr>
  </w:style>
  <w:style w:type="paragraph" w:styleId="117">
    <w:name w:val="Пункт1"/>
    <w:basedOn w:val="Normal"/>
    <w:qFormat/>
    <w:pPr>
      <w:tabs>
        <w:tab w:val="clear" w:pos="708"/>
        <w:tab w:val="left" w:pos="567" w:leader="none"/>
      </w:tabs>
      <w:spacing w:lineRule="auto" w:line="360" w:before="240" w:after="0"/>
      <w:ind w:left="567" w:hanging="279"/>
      <w:jc w:val="center"/>
    </w:pPr>
    <w:rPr>
      <w:rFonts w:ascii="Arial" w:hAnsi="Arial"/>
      <w:b/>
    </w:rPr>
  </w:style>
  <w:style w:type="paragraph" w:styleId="Style47">
    <w:name w:val="Подподподпункт"/>
    <w:basedOn w:val="Normal"/>
    <w:qFormat/>
    <w:pPr>
      <w:tabs>
        <w:tab w:val="clear" w:pos="708"/>
        <w:tab w:val="left" w:pos="1134" w:leader="none"/>
        <w:tab w:val="left" w:pos="1701" w:leader="none"/>
      </w:tabs>
      <w:spacing w:lineRule="auto" w:line="360"/>
      <w:ind w:left="1718" w:hanging="1008"/>
      <w:jc w:val="both"/>
    </w:pPr>
    <w:rPr>
      <w:szCs w:val="20"/>
    </w:rPr>
  </w:style>
  <w:style w:type="paragraph" w:styleId="Style48">
    <w:name w:val="Пункт Знак"/>
    <w:basedOn w:val="Normal"/>
    <w:qFormat/>
    <w:pPr>
      <w:tabs>
        <w:tab w:val="clear" w:pos="708"/>
        <w:tab w:val="left" w:pos="851" w:leader="none"/>
        <w:tab w:val="left" w:pos="1134" w:leader="none"/>
        <w:tab w:val="left" w:pos="1844" w:leader="none"/>
      </w:tabs>
      <w:spacing w:lineRule="auto" w:line="360"/>
      <w:ind w:left="1844" w:hanging="567"/>
      <w:jc w:val="both"/>
    </w:pPr>
    <w:rPr>
      <w:b/>
      <w:szCs w:val="20"/>
    </w:rPr>
  </w:style>
  <w:style w:type="paragraph" w:styleId="Style49">
    <w:name w:val="Текст таблицы"/>
    <w:basedOn w:val="Normal"/>
    <w:qFormat/>
    <w:pPr>
      <w:spacing w:before="40" w:after="40"/>
      <w:ind w:left="57" w:right="57" w:hanging="0"/>
    </w:pPr>
    <w:rPr>
      <w:sz w:val="24"/>
      <w:szCs w:val="24"/>
    </w:rPr>
  </w:style>
  <w:style w:type="paragraph" w:styleId="Style50">
    <w:name w:val="Обычный+ без отступа"/>
    <w:basedOn w:val="Normal"/>
    <w:qFormat/>
    <w:pPr>
      <w:spacing w:lineRule="auto" w:line="360" w:before="120" w:after="0"/>
      <w:jc w:val="both"/>
    </w:pPr>
    <w:rPr>
      <w:rFonts w:eastAsia="MS Mincho"/>
    </w:rPr>
  </w:style>
  <w:style w:type="paragraph" w:styleId="ListNumber">
    <w:name w:val="List Number"/>
    <w:basedOn w:val="Normal"/>
    <w:qFormat/>
    <w:pPr>
      <w:spacing w:lineRule="auto" w:line="360" w:before="60" w:after="0"/>
      <w:jc w:val="both"/>
    </w:pPr>
    <w:rPr/>
  </w:style>
  <w:style w:type="paragraph" w:styleId="ConsPlusTitle">
    <w:name w:val="ConsPlusTitle"/>
    <w:qFormat/>
    <w:pPr>
      <w:widowControl w:val="false"/>
      <w:suppressAutoHyphens w:val="true"/>
      <w:kinsoku w:val="true"/>
      <w:overflowPunct w:val="true"/>
      <w:autoSpaceDE w:val="true"/>
      <w:bidi w:val="0"/>
      <w:jc w:val="left"/>
    </w:pPr>
    <w:rPr>
      <w:rFonts w:ascii="Calibri" w:hAnsi="Calibri" w:eastAsia="Times New Roman" w:cs="Calibri"/>
      <w:b/>
      <w:color w:val="auto"/>
      <w:kern w:val="2"/>
      <w:sz w:val="22"/>
      <w:szCs w:val="20"/>
      <w:lang w:val="ru-RU" w:eastAsia="ru-RU" w:bidi="ar-SA"/>
    </w:rPr>
  </w:style>
  <w:style w:type="paragraph" w:styleId="Caption2">
    <w:name w:val="caption2"/>
    <w:basedOn w:val="Standard"/>
    <w:qFormat/>
    <w:pPr>
      <w:spacing w:lineRule="auto" w:line="240" w:before="0" w:after="0"/>
    </w:pPr>
    <w:rPr>
      <w:rFonts w:eastAsia="Calibri"/>
      <w:b/>
      <w:bCs/>
      <w:color w:val="4F81BD"/>
      <w:sz w:val="18"/>
      <w:szCs w:val="18"/>
    </w:rPr>
  </w:style>
  <w:style w:type="paragraph" w:styleId="131">
    <w:name w:val="Основной текст13"/>
    <w:basedOn w:val="Normal"/>
    <w:qFormat/>
    <w:pPr>
      <w:widowControl w:val="false"/>
      <w:shd w:fill="FFFFFF" w:val="clear"/>
      <w:spacing w:lineRule="exact" w:line="413"/>
      <w:ind w:left="0" w:right="0" w:hanging="1080"/>
      <w:jc w:val="both"/>
    </w:pPr>
    <w:rPr>
      <w:sz w:val="22"/>
      <w:szCs w:val="22"/>
    </w:rPr>
  </w:style>
  <w:style w:type="paragraph" w:styleId="BodyTextIndent">
    <w:name w:val="Body Text Indent"/>
    <w:basedOn w:val="Normal"/>
    <w:pPr>
      <w:spacing w:before="60" w:after="120"/>
      <w:ind w:left="283" w:right="0" w:hanging="0"/>
    </w:pPr>
    <w:rPr>
      <w:sz w:val="22"/>
      <w:szCs w:val="20"/>
    </w:rPr>
  </w:style>
  <w:style w:type="paragraph" w:styleId="Caption3">
    <w:name w:val="caption3"/>
    <w:basedOn w:val="Standard"/>
    <w:qFormat/>
    <w:pPr>
      <w:spacing w:lineRule="auto" w:line="240" w:before="0" w:after="0"/>
    </w:pPr>
    <w:rPr>
      <w:rFonts w:eastAsia="Calibri"/>
      <w:b/>
      <w:bCs/>
      <w:color w:val="4F81BD"/>
      <w:sz w:val="18"/>
      <w:szCs w:val="18"/>
    </w:rPr>
  </w:style>
  <w:style w:type="numbering" w:styleId="Style51">
    <w:name w:val="Без списка"/>
    <w:qFormat/>
  </w:style>
  <w:style w:type="numbering" w:styleId="118">
    <w:name w:val="Стиль1"/>
    <w:qFormat/>
  </w:style>
  <w:style w:type="numbering" w:styleId="29">
    <w:name w:val="Стиль2"/>
    <w:qFormat/>
  </w:style>
  <w:style w:type="numbering" w:styleId="WW8Num17">
    <w:name w:val="WW8Num17"/>
    <w:qFormat/>
  </w:style>
  <w:style w:type="numbering" w:styleId="WW8Num24">
    <w:name w:val="WW8Num2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header" Target="header3.xml"/><Relationship Id="rId6" Type="http://schemas.openxmlformats.org/officeDocument/2006/relationships/header" Target="header4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header" Target="header5.xml"/><Relationship Id="rId10" Type="http://schemas.openxmlformats.org/officeDocument/2006/relationships/header" Target="header6.xml"/><Relationship Id="rId11" Type="http://schemas.openxmlformats.org/officeDocument/2006/relationships/footer" Target="footer4.xml"/><Relationship Id="rId12" Type="http://schemas.openxmlformats.org/officeDocument/2006/relationships/footer" Target="footer5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2492</TotalTime>
  <Application>AlterOffice/3.3.1.3$Linux_X86_64 LibreOffice_project/90d829a0d92d6015ad4fa014ce4f460a7fe6c0ba</Application>
  <AppVersion>15.0000</AppVersion>
  <Pages>23</Pages>
  <Words>4486</Words>
  <Characters>31731</Characters>
  <CharactersWithSpaces>35895</CharactersWithSpaces>
  <Paragraphs>447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2023-10-20T14:08:00Z</dcterms:created>
  <dc:creator>Козлов Иван Викторович</dc:creator>
  <dc:description/>
  <dc:language>ru-RU</dc:language>
  <cp:lastModifiedBy>chaychenko_mi</cp:lastModifiedBy>
  <dcterms:modified xsi:type="dcterms:W3CDTF">2026-07-24T13:29:37Z</dcterms:modified>
  <cp:revision>225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